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5A_503/2021 vom 1. Juli 2021</w:t>
      </w:r>
    </w:p>
    <w:p>
      <w:r>
        <w:t>Bundesgericht, 2021-07-01, DE</w:t>
      </w:r>
    </w:p>
    <w:p>
      <w:r>
        <w:rPr>
          <w:b/>
        </w:rPr>
        <w:t xml:space="preserve">Quelle: </w:t>
      </w:r>
      <w:r>
        <w:t>https://mcp.opencaselaw.ch/entscheid/bger_5A_503_2021</w:t>
      </w:r>
    </w:p>
    <w:p>
      <w:r>
        <w:t>FR: TF 5A_503/2021 du 1 juillet 2021</w:t>
      </w:r>
    </w:p>
    <w:p>
      <w:r>
        <w:t>IT: TF 5A_503/2021 del 1 luglio 2021</w:t>
      </w:r>
    </w:p>
    <w:p>
      <w:pPr>
        <w:pStyle w:val="Heading2"/>
      </w:pPr>
      <w:r>
        <w:t>Erwägungen</w:t>
      </w:r>
    </w:p>
    <w:p>
      <w:r>
        <w:rPr>
          <w:b/>
        </w:rPr>
        <w:t>E. 1</w:t>
      </w:r>
    </w:p>
    <w:p>
      <w:r>
        <w:t>Angefochten ist ein kantonal letztinstanzlicher Entscheid ( Art. 75 Abs. 1 BGG ), mit welchem die unentgeltliche Rechtspflege verweigert wird. Dies ist ein Zwischenentscheid, der einen nicht wieder gutzumachenden Nachteil im Sinne von Art. 93 Abs. 1 Bst. a BGG bewirken kann bzw. unabhängig von einem solchen anfechtbar ist ( BGE 135 III 127 E. 1.3 S. 129; 138 IV 258 E. 1.1 S. 261 ; 143 I 344 E. 1.2 S. 346). Der Rechtsweg folgt demjenigen in der Hauptsache ( BGE 137 III 380 E. 1.1 S. 382). Bei dieser handelt es sich um eine Scheidung, gegen welche die Beschwerde in Zivilsachen offen stünde ( Art. 72 Abs. 1 und Art. 90 BGG ). Diese ist somit grundsätzlich gegeben.</w:t>
      </w:r>
    </w:p>
    <w:p>
      <w:r>
        <w:rPr>
          <w:b/>
        </w:rPr>
        <w:t>E. 2</w:t>
      </w:r>
    </w:p>
    <w:p>
      <w:r>
        <w:t>Der von der Vorinstanz festgestellte Sachverhalt ist für das Bundesgericht grundsätzlich verbindlich ( Art. 105 Abs. 1 BGG ). Diesbezüglich kann nur eine willkürliche Sachverhaltsfeststellung gerügt werden, für welche das strenge Rügeprinzip gilt ( Art. 97 Abs. 1 und Art. 106 Abs. 2 BGG ), was bedeutet, dass das Bundesgericht nur klar und detailliert erhobene und belegte Rügen prüft, während es auf ungenügend substanziierte Rügen und rein appellatorische Kritik am Sachverhalt nicht eintritt ( BGE 140 III 264 E. 2.3 S. 266; 141 IV 249 E. 1.3.1 S. 253).</w:t>
      </w:r>
    </w:p>
    <w:p>
      <w:r>
        <w:t>In rechtlicher Hinsicht hat die Beschwerde eine Begründung zu enthalten, in welcher in gedrängter Form dargelegt wird, inwiefern der angefochtene Entscheid Recht verletzt ( Art. 42 Abs. 2 BGG ), was eine sachbezogene Auseinandersetzung mit dessen Begründung erfordert ( BGE 140 III 115 E. 2 S. 116; 142 III 364 E. 2.4 S. 368).</w:t>
      </w:r>
    </w:p>
    <w:p>
      <w:r>
        <w:rPr>
          <w:b/>
        </w:rPr>
        <w:t>E. 3</w:t>
      </w:r>
    </w:p>
    <w:p>
      <w:r>
        <w:t>Das Kantonsgericht hat in seinem ausführlichen Entscheid zusammengefasst erwogen, die Verfügung vom 8. Januar 2019, mit welcher der damals anwaltlich vertretenen Ehefrau die unentgeltliche Rechtspflege mit einem Selbstbehalt von Fr. 12'000.-- erteilt worden sei, unter ausdrücklichem Vorbehalt eines weiteren Selbstbehaltes für die Zeit ab Januar 2020, sei nicht angefochten worden und damit in formelle Rechtskraft erwachsen. Soweit sie diese Verfügung anfechte, könne sie mithin nicht mehr gehört werden. Sodann hätte sie jederzeit ein neues Gesuch um unentgeltliche Rechtspflege einreichen und dabei veränderte Verhältnisse geltend machen können. Dies habe sie nicht getan: Das weitere Gesuch vom 24. Oktober 2020 stützte sich auf keine neuen Tatsachen und Beweismittel und enthalte auch keinen Antrag auf Neuberechnung oder Aufhebung des festgesetzten Selbstbehaltes; sodann enthalte die Eingabe vom 27. Januar 2021 kein Gesuch um unentgeltliche Rechtspflege, sondern nur diverse Anträge in der Sache. Mithin sei die Festlegung des neuen Selbstbehaltes auf Fr. 3'000.-- für die Zeit von Januar bis Juni 2020 nicht zu beanstanden.</w:t>
      </w:r>
    </w:p>
    <w:p>
      <w:r>
        <w:rPr>
          <w:b/>
        </w:rPr>
        <w:t>E. 4</w:t>
      </w:r>
    </w:p>
    <w:p>
      <w:r>
        <w:t>Die Beschwerde an das Bundesgericht besteht in erster Linie aus appellatorischen Ausführungen zum Sachverhalt, indem die Beschwerdeführerin behauptet, sie hätte weitere Gesuche um unentgeltliche Rechtspflege gestellt und dabei Noven geltend gemacht, und indem sie entgegen den ausdrücklichen Feststellungen im angefochtenen Entscheid auch behauptet, das Zivilkreisgericht habe diverse neue Beweismittel übersehen, insbesondere das AHV-Formular und dass sie über keinen Lohn verfüge, aber auch weitere Noven wie Krankenkassenprämien, Schulgeld, Autoleasing etc. All dies beschlägt die Sachverhaltsfeststellungen und diesbezüglich sind appellatorische Schilderungen aus eigener Sicht ungenügend, sondern wären qualifizierte Willkürrügen erforderlich (vgl. E. 2). Solche erfolgen weder explizit noch der Sache nach, weshalb auf die Ausführungen nicht eingetreten werden kann.</w:t>
      </w:r>
    </w:p>
    <w:p>
      <w:r>
        <w:t>Somit hat es beim Sachverhalt sein Bewenden, wie er im angefochtenen Entscheid festgestellt worden ist. Ausgehend von dieser Sachverhaltsbasis legt die Beschwerdeführerin nicht dar, welche Rechtssätze und inwiefern diese vom Kantonsgericht verletzt worden sein sollen, weshalb es der Beschwerde auch in rechtlicher Hinsicht an einer hinreichenden Begründung mangelt.</w:t>
      </w:r>
    </w:p>
    <w:p>
      <w:r>
        <w:rPr>
          <w:b/>
        </w:rPr>
        <w:t>E. 5</w:t>
      </w:r>
    </w:p>
    <w:p>
      <w:r>
        <w:t>Nach dem Gesagten erweist sich die Beschwerde als offensichtlich nicht hinreichend begründet, weshalb auf sie nicht eingetreten werden kann und der Präsident im vereinfachten Verfahren entscheidet ( Art. 108 Abs. 1 lit. b BGG ).</w:t>
      </w:r>
    </w:p>
    <w:p>
      <w:r>
        <w:rPr>
          <w:b/>
        </w:rPr>
        <w:t>E. 6</w:t>
      </w:r>
    </w:p>
    <w:p>
      <w:r>
        <w:t>Wie die vorstehenden Erwägungen zeigen, konnte der Beschwerde von Anfang an kein Erfolg beschieden sein, weshalb es an den materiellen Voraussetzungen der unentgeltlichen Rechtspflege fehlt ( Art. 64 Abs. 1 BGG ) und das entsprechende Gesuch abzuweisen ist.</w:t>
      </w:r>
    </w:p>
    <w:p>
      <w:r>
        <w:rPr>
          <w:b/>
        </w:rPr>
        <w:t>E. 7</w:t>
      </w:r>
    </w:p>
    <w:p>
      <w:r>
        <w:t>Die Gerichtskosten sind der Beschwerdeführerin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