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5A_502/2024 vom 30. August 2024</w:t>
      </w:r>
    </w:p>
    <w:p>
      <w:r>
        <w:t>Bundesgericht, 2024-08-30, DE</w:t>
      </w:r>
    </w:p>
    <w:p>
      <w:r>
        <w:rPr>
          <w:b/>
        </w:rPr>
        <w:t xml:space="preserve">Quelle: </w:t>
      </w:r>
      <w:r>
        <w:t>https://mcp.opencaselaw.ch/entscheid/bger_5A_502_2024</w:t>
      </w:r>
    </w:p>
    <w:p>
      <w:r>
        <w:t>FR: TF 5A_502/2024 du 30 août 2024</w:t>
      </w:r>
    </w:p>
    <w:p>
      <w:r>
        <w:t>IT: TF 5A_502/2024 del 30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Zusammenhang mit Zivilverfahren vor oberen kantonalen Instanzen kann beim Bundesgericht jederzeit Rechtsverzögerungsbeschwerde eingereicht werden ( Art. 72 Abs. 1, Art. 94 und Art. 100 Abs. 7 BGG ).</w:t>
      </w:r>
    </w:p>
    <w:p>
      <w:r>
        <w:rPr>
          <w:b/>
        </w:rPr>
        <w:t>E. 2</w:t>
      </w:r>
    </w:p>
    <w:p>
      <w:r>
        <w:t>Nachdem das Obergericht in der Sache selbst entschieden hat, ist die Rechtsverzögerungsbeschwerde gegenstandslos geworden und das diesbezügliche bundesgerichtliche Verfahren ist als erledigt abzuschreiben. Hierfür ist der Abteilungspräsident zuständig ( Art. 32 Abs. 2 BGG ).</w:t>
      </w:r>
    </w:p>
    <w:p>
      <w:r>
        <w:rPr>
          <w:b/>
        </w:rPr>
        <w:t>E. 3</w:t>
      </w:r>
    </w:p>
    <w:p>
      <w:r>
        <w:t>Angesichts der konkreten Umstände sind keine Gerichtskosten zu erheben ( Art. 66 Abs. 1 BGG ) und der nicht anwaltlich vertretene Beschwerdeführer hat keinen Anspruch auf eine Umtriebsentschädigung (vgl. BGE 125 II 518 E. 5b; zuletzt Urteile 5A_502/2023 vom 20. März 2024 E. 7; 5F_22/2023 vom 7. Dezember 2023 E. 4.1 und 4.3; 6B_1227/2023 vom 10. Januar 2024 E. 5). Eine summarische Begründung zur Sachlage vor Eintritt des Erledigungsgrundes als Grundlage der Kostenverteilung ( Art. 71 BGG i.V.m. Art. 72 BZP ) ist somit entbehrlich.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