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5A_502/2008 vom 4. März 2009</w:t>
      </w:r>
    </w:p>
    <w:p>
      <w:r>
        <w:t>Bundesgericht, 2009-03-04, FR</w:t>
      </w:r>
    </w:p>
    <w:p>
      <w:r>
        <w:rPr>
          <w:b/>
        </w:rPr>
        <w:t xml:space="preserve">Quelle: </w:t>
      </w:r>
      <w:r>
        <w:t>https://mcp.opencaselaw.ch/entscheid/bger_5A_502_2008</w:t>
      </w:r>
    </w:p>
    <w:p>
      <w:r>
        <w:t>FR: TF 5A_502/2008 du 4 mars 2009</w:t>
      </w:r>
    </w:p>
    <w:p>
      <w:r>
        <w:t>IT: TF 5A_502/2008 del 4 marzo 2009</w:t>
      </w:r>
    </w:p>
    <w:p>
      <w:pPr>
        <w:pStyle w:val="Heading2"/>
      </w:pPr>
      <w:r>
        <w:t>Erwägungen</w:t>
      </w:r>
    </w:p>
    <w:p>
      <w:r>
        <w:rPr>
          <w:b/>
        </w:rPr>
        <w:t>E. 1.1</w:t>
      </w:r>
    </w:p>
    <w:p>
      <w:r>
        <w:t>Le recours a été déposé en temps utile ( art. 100 al. 1 LTF ) et dans la forme prévue par la loi ( art. 42 LTF ), contre une décision rendue en matière civile ( art. 72 al. 1 LTF ) par l'autorité cantonale de dernière instance ( art. 75 al. 1 LTF ). Interjeté en outre par une partie qui a pris part à la procédure devant l'autorité précédente et a un intérêt juridique à la modification de la décision attaquée, dans la mesure où elle prétend être héritière unique, à l'exclusion de l'intimée ( art. 76 al. 1 LTF ), le recours est recevable au regard de ces dispositions.</w:t>
      </w:r>
    </w:p>
    <w:p>
      <w:r>
        <w:t>Il n'est pas nécessaire d'examiner si le caractère gracieux de la procédure close par la décision entreprise (cf. ATF 98 II 272 et les arrêts cités) a pour effet de soustraire le recours en matière civile à l'exigence d'une valeur litigieuse minimale. En effet, le seuil de 30'000 fr. fixé à l' art. 74 al. 1 let. b LTF est de toute façon atteint en l'espèce.</w:t>
      </w:r>
    </w:p>
    <w:p>
      <w:r>
        <w:rPr>
          <w:b/>
        </w:rPr>
        <w:t>E. 1.2</w:t>
      </w:r>
    </w:p>
    <w:p>
      <w:r>
        <w:t>Le prononcé ordonnant ou refusant d'ordonner l'administration d'office d'une succession, en application de l' art. 556 al. 3 CC - cas d'administration d'office de l' art. 554 al. 1 ch. 4 CC (PAUL-HENRI STEINAUER, Le droit des successions, Berne 2006, n. 875; KARRER, Commentaire bâlois, n. 28 ad art. 556 CC ) - constitue une décision de mesures provisionnelles au sens de l' art. 98 LTF qui, contrairement à ce que prétend le recourant, ne peut être attaquée que pour violation des droits constitutionnels.</w:t>
      </w:r>
    </w:p>
    <w:p>
      <w:r>
        <w:t>Le Tribunal fédéral ne sanctionne la violation des droits fondamentaux que si ce moyen est invoqué et motivé par le recourant ( art. 106 al. 2 LTF ); les exigences de motivation de l'acte de recours correspondent à celles de l'ancien art. 90 al. 1 let. b OJ ( ATF 133 II 249 consid. 1.4.2 p. 254). L'acte de recours doit ainsi, sous peine d'irrecevabilité, contenir un exposé succinct des droits constitutionnels ou des principes juridiques violés et préciser en quoi consiste la violation ( ATF 134 I 83 consid. 3.2 p. 88). 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 ATF 133 II 396 consid. 3.2 p. 400); les critiques de nature appellatoire sont irrecevables ( ATF 133 III 589 consid. 2 p. 591 et la jurisprudence citée).</w:t>
      </w:r>
    </w:p>
    <w:p>
      <w:r>
        <w:rPr>
          <w:b/>
        </w:rPr>
        <w:t>E. 1.3</w:t>
      </w:r>
    </w:p>
    <w:p>
      <w:r>
        <w:t>Aucun fait nouveau ni preuve nouvelle ne peut être présenté, à moins de résulter de la décision de l'autorité précédente ( art. 99 LTF ; ATF 133 III 393 consid. 3 p. 395).</w:t>
      </w:r>
    </w:p>
    <w:p>
      <w:r>
        <w:t>En tant que le recourant allègue des faits qui ne ressortent pas de l'arrêt entrepris, sans se prévaloir valablement de l'une des exceptions susmentionnées, son recours est irrecevable. Ainsi, sous chiffre II de son mémoire, le recourant relate, sur plus de sept pages, ce qu'il désigne comme étant les faits de la cause en litige. Il en donne sa propre version, en les exposant de manière appellatoire, avec référence aux pièces du dossier cantonal, sans se limiter aux seules constatations figurant dans la décision attaquée. Conformément aux dispositions et principes susmentionnés, il sera, dès lors, fait abstraction de l'état de fait présenté par le recourant, dans la mesure où il s'écarte de celui retenu par la Chambre des recours.</w:t>
      </w:r>
    </w:p>
    <w:p>
      <w:r>
        <w:t>Sont également irrecevables, faute de motivation suffisante, les critiques formulées sous le titre «Etablissement inexact des faits». Le recourant se borne en effet à apporter des corrections ou des précisions aux constatations de l'autorité cantonale, sans démontrer en quoi ces modifications seraient pertinentes pour l'issue de la cause, et de formuler des critiques de nature purement appellatoire, qui ne peuvent être prises en considération (cf. supra, consid. 1.2). On ne voit pas non plus en quoi les art. 29 al. 2 Cst. et 6 § 1 CEDH auraient été enfreints, la prétendue violation de ces dispositions n'étant du reste aucunement motivée.</w:t>
      </w:r>
    </w:p>
    <w:p>
      <w:r>
        <w:rPr>
          <w:b/>
        </w:rPr>
        <w:t>E. 1.4</w:t>
      </w:r>
    </w:p>
    <w:p>
      <w:r>
        <w:t>Les courriers des 31 octobre, 4 novembre et 10 novembre 2008, que le recourant a déposés devant la cour de céans, n'ont pas été requis.</w:t>
      </w:r>
    </w:p>
    <w:p>
      <w:r>
        <w:rPr>
          <w:b/>
        </w:rPr>
        <w:t>E. 2</w:t>
      </w:r>
    </w:p>
    <w:p>
      <w:r>
        <w:t>L' art. 554 al. 1 CC indique les circonstances dans lesquelles le juge ordonne l'administration d'office d'une succession: en cas d'absence prolongée d'un héritier (ch. 1), lorsqu'on ne sait pas au juste qui est héritier ou qu'on ignore même si le défunt a laissé un héritier (ch. 2) et lorsque tous les héritiers ne sont pas connus (ch. 3). En outre, le chiffre 4 de cet alinéa renvoie de manière générale «aux autres cas prévus par la loi ». Ces cas sont uniquement ceux qu'énumère le droit civil fédéral. Parmi eux, on trouve le cas indiqué à l' art. 556 al. 3 CC , qui accorde au juge la faculté, après la remise du testament, soit d'envoyer les héritiers légaux en possession provisoire des biens, soit d'ordonner l'administration d'office de la succession (PIOTET, Droit successoral, Traité de droit privé suisse, IV, p. 631; TUOR/PICENONI, Commentaire bernois, n. 10 ad art. 554 p. 560). A défaut d'héritiers légaux à qui la gestion des biens puisse être confiée, ou lorsque la gestion par les héritiers présente un risque particulier, l'autorité ordonnera donc l'administration d'office (STEINAUER, op. cit., n. 888; KARRER, op. cit., n. 28 ad art. 556 CC ).</w:t>
      </w:r>
    </w:p>
    <w:p>
      <w:r>
        <w:t>L'administration d'office de la succession constitue une des mesures de sûreté que le juge ordonne pour assurer la dévolution de l'hérédité ( art. 551 al. 1 et 2 CC ). Autrement dit, l'administration d'office est une mesure conservatoire et elle doit être prononcée lorsque la gestion provisoire par l'exécuteur testamentaire présente des risques, en particulier pour la délivrance des biens aux héritiers institués.</w:t>
      </w:r>
    </w:p>
    <w:p>
      <w:r>
        <w:rPr>
          <w:b/>
        </w:rPr>
        <w:t>E. 3.1</w:t>
      </w:r>
    </w:p>
    <w:p>
      <w:r>
        <w:t>La Chambre des recours a considéré que le recourant n'avançait aucun élément nouveau déterminant pour la question de l'administration d'office de la succession. Elle a relevé que, dans son arrêt du 1er septembre 2006, elle avait considéré qu'une administration d'office de la succession était inopportune et disproportionnée, dès lors que l'exécuteur testamentaire était seul responsable du sort du patrimoine successoral et que la liquidation de la succession par ledit exécuteur testamentaire touchait à sa fin. Par ailleurs, il ressortait de la décision attaquée, rendue par le Juge de paix le 28 août 2007, que les opérations de dévolution de la succession étaient à ce jour terminées; l'exécuteur testamentaire avait du reste confirmé que la succession avait déjà été transmise aux héritiers et que le partage avait donc été effectué.</w:t>
      </w:r>
    </w:p>
    <w:p>
      <w:r>
        <w:t>Selon l'autorité cantonale, le transfert des biens successoraux étant déjà intervenu, on ne voyait pas quel intérêt pourrait encore présenter l'instauration d'une administration d'office. La mission essentielle de l'administrateur était en effet de conserver la substance de la succession dans l'intérêt de tous les successeurs et des créanciers; sa gestion était purement conservatoire, et il ne devait pas procéder à la liquidation de la succession, ni même préparer celle-ci. Compte tenu des opérations effectuées par l'exécuteur testamentaire, un administrateur d'office ne pourrait tout simplement plus remplir sa mission. Par conséquent, une administration d'office n'avait à ce stade plus de sens et ne pouvait ainsi être ordonnée.</w:t>
      </w:r>
    </w:p>
    <w:p>
      <w:r>
        <w:rPr>
          <w:b/>
        </w:rPr>
        <w:t>E. 3.2</w:t>
      </w:r>
    </w:p>
    <w:p>
      <w:r>
        <w:t>Le recourant ne conteste pas valablement cette motivation. Il se borne à soutenir, sans rien démontrer, que le motif selon lequel les biens de la succession auraient déjà été distribués est sans pertinence pour refuser d'instaurer une administration d'office. En affirmant que, dans ce cas, la nomination d'un administrateur d'office est, au contraire, d'autant plus nécessaire, voire urgente, afin que celui-ci puisse inventorier les biens de la succession, se les faire remettre et les sauvegarder pour l'ayant droit, il oppose sa propre opinion à celle de la Chambre des recours, sans étayer son argumentation. La seule référence de doctrine qu'il cite à cet égard ne lui est d'aucun secours (FRANK EMMEL, in Praxiskommentar Erbrecht, hrsg. von Abt/Weibel, n. 23 ad art. 554 CC ), dès lors que le passage auquel il se réfère ne fait qu'indiquer les tâches de l'administrateur d'office.</w:t>
      </w:r>
    </w:p>
    <w:p>
      <w:r>
        <w:t>Dans ces conditions, le recourant n'établit pas que l'autorité cantonale aurait appliqué le droit fédéral de manière insoutenable sur ce point. Il prétend donc en vain qu'une administration d'office s'imposerait tant en application des art. 556 al. 3 (en relation avec l' art. 554 al. 1 ch. 4 CC ), 554 al. 1 ch. 2, 554 al. 1 ch. 3 et 598 al. 2 CC: étant donné que la Chambre des recours pouvait, sans arbitraire, considérer qu'en raison du partage de la succession, la nomination d'un administrateur d'office était sans pertinence, une telle mesure ne saurait être ordonnée en application de l'une ou l'autre de ces dispositions.</w:t>
      </w:r>
    </w:p>
    <w:p>
      <w:r>
        <w:t>Pour le surplus, l'argumentation du recourant n'est pas déterminante, dans la mesure où elle se rapporte à la procédure au fond qu'il a intentée devant la Cour civile du Tribunal cantonal du canton de Vaud, concernant l'annulation des dispositions testamentaires de 1998 (action en nullité, art. 519 ss CC ) et sa prétendue qualité d'héritier légal (action en pétition d'hérédité, art. 598 ss CC ).</w:t>
      </w:r>
    </w:p>
    <w:p>
      <w:r>
        <w:t>Il n'y a par conséquent pas lieu d'entrer en matière sur les allégations du recourant relatives aux compétences requises des administrateurs d'office - dont l'intimé ne pourrait, selon lui, faire partie - et à la nomination urgente, par la cour de céans, de deux administrateurs désignés par lui, ces considérations étant en l'occurrence irrelevantes.</w:t>
      </w:r>
    </w:p>
    <w:p>
      <w:r>
        <w:t>Quant aux critiques selon lesquelles le recourant aurait été discriminé par la Chambre des recours, qui aurait en substance violé ses droits procéduraux, elles ne sont pas motivées conformément aux exigences de l' art. 106 al. 2 LTF ( ATF 133 II 249 consid. 1.4.2 p. 254).</w:t>
      </w:r>
    </w:p>
    <w:p>
      <w:r>
        <w:rPr>
          <w:b/>
        </w:rPr>
        <w:t>E. 4</w:t>
      </w:r>
    </w:p>
    <w:p>
      <w:r>
        <w:t>Le recourant s'en prend aussi au montant des frais et dépens de la procédure cantonale, qui seraient selon lui arbitrairement ( art. 9 Cst. ) élevés et, s'agissant des émoluments de justice, inéquitables (art. 6 § 1 CEDH ) ainsi que dépourvus «de fondement légal» (en réalité: insuffisamment motivés).</w:t>
      </w:r>
    </w:p>
    <w:p>
      <w:r>
        <w:rPr>
          <w:b/>
        </w:rPr>
        <w:t>E. 4.1</w:t>
      </w:r>
    </w:p>
    <w:p>
      <w:r>
        <w:t>La jurisprudence reconnaît à l'autorité cantonale de recours un large pouvoir d'appréciation dans la fixation et la répartition des frais et dépens de la procédure cantonale ( ATF 111 V 48 consid. 4a p. 49). Le Tribunal fédéral n'intervient que si l'autorité a interprété ou appliqué de manière arbitraire le droit cantonal concerné ou si elle a abusé de son pouvoir d'appréciation, étant précisé qu'en présence d'un tarif ou d'une règle légale fixant des minima et maxima, le juge ne doit motiver sa décision que s'il sort de ces limites ou si des éléments extraordinaires sont invoqués par la partie ( ATF 111 Ia 1 consid. 2a).</w:t>
      </w:r>
    </w:p>
    <w:p>
      <w:r>
        <w:rPr>
          <w:b/>
        </w:rPr>
        <w:t>E. 4.2</w:t>
      </w:r>
    </w:p>
    <w:p>
      <w:r>
        <w:t>En l'occurrence, l'autorité cantonale s'est fondée sur l'art. 236 al. 3 du Tarif des frais judiciaires en matière civile (TFJC/VD; RSV 270.11.5) pour arrêter à 7'000 fr. les frais de deuxième instance cantonale mis à la charge du recourant. Selon cette disposition, lorsque l'opération autorisée ou empêchée par la décision attaquée a une valeur économique importante, l'émolument peut être porté à 20'000 fr. au maximum, étant précisé que l'art. 236 al. 1 TFJC/VD prévoit que pour un arrêt sur un recours non contentieux ou sur un appel, l'émolument est fixé entre 100 et 2'400 fr. La Chambre des recours a par ailleurs fixé à 3'000 fr. chacun le montant des dépens de deuxième instance dus aux intimés.</w:t>
      </w:r>
    </w:p>
    <w:p>
      <w:r>
        <w:rPr>
          <w:b/>
        </w:rPr>
        <w:t>E. 4.3</w:t>
      </w:r>
    </w:p>
    <w:p>
      <w:r>
        <w:t>En ce qui concerne les frais judiciaires, le recourant se plaint d'une application insoutenable et inéquitable des art. 6, 8 et 236 TFJC/VD. Il expose, en résumé, que le travail effectif de la Chambre des recours ne justifie pas le montant de 7'000 fr. Quant à la question des dépens, fixés à 3'000 fr. pour chaque intimé, il reproche à l'autorité cantonale une application arbitraire de l'art. 2 du Tarif des honoraires d'avocat dus à titre de dépens (TAv/VD; RSV 177.11.3), au motif que les mémoires des intimés, qui comportent dix-huit, respectivement treize pages, ne démontrent pas une étude approfondie de ses arguments. Ce faisant, il se contente de faire valoir son opinion, sans établir que l'autorité cantonale aurait fait preuve d'arbitraire ou abusé de son pouvoir d'appréciation dans l'application du droit cantonal. On ne voit pas non plus en quoi l'art. 6 § 1 CEDH aurait été violé. Enfin, vu la jurisprudence citée plus haut, on ne saurait reprocher à la Chambre des recours un défaut de motivation sur ce point. Autant qu'il est recevable, le grief apparaît ainsi mal fondé.</w:t>
      </w:r>
    </w:p>
    <w:p>
      <w:r>
        <w:rPr>
          <w:b/>
        </w:rPr>
        <w:t>E. 5</w:t>
      </w:r>
    </w:p>
    <w:p>
      <w:r>
        <w:t>En conclusion, le recours se révèle mal fondé et ne peut qu'être rejeté, dans la faible mesure de sa recevabilité. Vu cette issue - prévisible - de la procédure, la requête d'assistance judiciaire du recourant ne saurait être agréée ( art. 64 al. 1 LTF ). Celui-ci supportera dès lors les frais judiciaires ( art. 66 al. 1 LTF ) et versera en outre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