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500/2021 vom 2. Juli 2021</w:t>
      </w:r>
    </w:p>
    <w:p>
      <w:r>
        <w:t>Bundesgericht, 2021-07-02, DE</w:t>
      </w:r>
    </w:p>
    <w:p>
      <w:r>
        <w:rPr>
          <w:b/>
        </w:rPr>
        <w:t xml:space="preserve">Quelle: </w:t>
      </w:r>
      <w:r>
        <w:t>https://mcp.opencaselaw.ch/entscheid/bger_5A_500_2021</w:t>
      </w:r>
    </w:p>
    <w:p>
      <w:r>
        <w:t>FR: TF 5A 500/2021 du 2 juillet 2021</w:t>
      </w:r>
    </w:p>
    <w:p>
      <w:r>
        <w:t>IT: TF 5A 500/2021 del 2 luglio 2021</w:t>
      </w:r>
    </w:p>
    <w:p>
      <w:pPr>
        <w:pStyle w:val="Heading2"/>
      </w:pPr>
      <w:r>
        <w:t>Regeste</w:t>
      </w:r>
    </w:p>
    <w:p>
      <w:r>
        <w:t>Nichtbekanntgabe einer Betreibung | Schuldbetreibungs- und Konkursrecht</w:t>
      </w:r>
    </w:p>
    <w:p>
      <w:pPr>
        <w:pStyle w:val="Heading2"/>
      </w:pPr>
      <w:r>
        <w:t>Erwägungen</w:t>
      </w:r>
    </w:p>
    <w:p>
      <w:r>
        <w:rPr>
          <w:b/>
        </w:rPr>
        <w:t>E. 1</w:t>
      </w:r>
    </w:p>
    <w:p>
      <w:r>
        <w:t>Mit Verfügung vom 8. März 2021 wies das Betreibungsamt Zürich 3 ein Gesuch des Beschwerdeführers um Nichtbekanntgabe der Betreibung Nr. xxx an Dritte ab. Dagegen erhob der Beschwerdeführer am 11. März 2021 (Poststempel) Beschwerde beim Bezirksgericht Zürich. Mit Zirkulationsbeschluss vom 14. April 2021 wies das Bezirksgericht die Beschwerde ab. Dagegen erhob der Beschwerdeführer am 23. April 2021 (Poststempel) Beschwerde beim Obergericht des Kantons Zürich. Mit Urteil vom 10. Juni 2021 wies das Obergericht die Beschwerde ab, soweit es darauf eintrat. Gegen diesen Entscheid (sowie einen weiteren; dazu Verfahren 5A_499/2021) hat der Beschwerdeführer am 17. Juni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Bezirksgericht hatte erwogen, dass der Gemeinde U.________ mit Urteil des Bezirksgerichts Zürich vom 22. Januar 2021 in der Betreibung Nr. xxx definitive Rechtsöffnung erteilt worden sei. Damit fehle es an einer Voraussetzung für die Nichtbekanntgabe der Betreibung an Dritte im Sinne von Art. 8a Abs. 3 lit. d SchKG . Das Obergericht hat erwogen, dass der Beschwerdeführer dies nicht bestreite und er nichts vorbringe, was eine abweichende Beurteilung nahe legen würde.</w:t>
      </w:r>
    </w:p>
    <w:p>
      <w:r>
        <w:rPr>
          <w:b/>
        </w:rPr>
        <w:t>E. 4</w:t>
      </w:r>
    </w:p>
    <w:p>
      <w:r>
        <w:t>Der Beschwerdeführer geht auf diese Erwägungen nicht ein. Es genügt nicht zu behaupten, er habe Beweise vorgelegt, die ignoriert worden seien. Er macht bloss geltend, die Forderung sei durch einen Lohnabzug bezahlt worden. Dabei geht er nicht auf die obergerichtliche Erwägung ein, wonach der Bestand der Forderung nicht Prozessthema sei. Das Verhalten der KESB Horgen ist ebenfalls nicht Gegenstand des vorliegenden Verfahrens. 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Am Rande spricht der Beschwerdeführer vom Anspruch auf unentgeltliche Rechtspflege, doch ist unklar, ob er sich auf das vorliegende bundesgerichtliche Verfahren bezieht. Ein entsprechendes Gesuch wäre infolge Aussichtslosigkeit der Beschwerde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