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49/2014 vom 18. Februar 2014</w:t>
      </w:r>
    </w:p>
    <w:p>
      <w:r>
        <w:t>Bundesgericht, 2014-02-18, DE</w:t>
      </w:r>
    </w:p>
    <w:p>
      <w:r>
        <w:rPr>
          <w:b/>
        </w:rPr>
        <w:t xml:space="preserve">Quelle: </w:t>
      </w:r>
      <w:r>
        <w:t>https://mcp.opencaselaw.ch/entscheid/bger_5A_49_2014</w:t>
      </w:r>
    </w:p>
    <w:p>
      <w:r>
        <w:t>FR: TF 5A 49/2014 du 18 février 2014</w:t>
      </w:r>
    </w:p>
    <w:p>
      <w:r>
        <w:t>IT: TF 5A 49/2014 del 18 febbraio 2014</w:t>
      </w:r>
    </w:p>
    <w:p>
      <w:pPr>
        <w:pStyle w:val="Heading2"/>
      </w:pPr>
      <w:r>
        <w:t>Regeste</w:t>
      </w:r>
    </w:p>
    <w:p>
      <w:r>
        <w:t>Kostenrechnung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Als Betreibender steht der Beschwerdeführerin ein schutzwürdiges Interesse an der Anfechtung des Entscheides zu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w:t>
      </w:r>
    </w:p>
    <w:p>
      <w:r>
        <w:t>Anlass zur vorliegenden Beschwerde gibt die Kostenrechnung für die Zustellung eines Zahlungsbefehls.</w:t>
      </w:r>
    </w:p>
    <w:p>
      <w:r>
        <w:rPr>
          <w:b/>
        </w:rPr>
        <w:t>E. 2.1</w:t>
      </w:r>
    </w:p>
    <w:p>
      <w:r>
        <w:t>Die Zustellung des Zahlungsbefehls erfolgt durch einen Betreibungsbeamten, einen Angestellten des Amtes oder durch die Post ( Art. 72 Abs. 1 SchKG ). Dem Betriebenen steht kein Anspruch auf Erhalt einer vorgängigen Abholungseinladung für den Zahlungsbefehl zu. Ebensowenig ist dieser verpflichtet, den Zahlungsbefehl auf dem Amt entgegenzunehmen. Der Versuch, den Zahlungsbefehl mittels einer Abholungseinladung auf dem Amt zuzustellen, ist bundesrechtlich nicht zu beanstanden. Auf welche Weise das Amt bei der Zustellung des Zahlungsbefehls vorgehen will, entscheidet es im konkreten Fall. Es hat eine Amtshandlung beförderlich vorzunehmen und dabei auch die Interessen der Gläubiger zu wahren ( BGE 138 III 2 E. 2.1 S. 26; 136 III 155 E. 3.1 S. 156). Bedient sich das Amt für die Zustellung des Zahlungsbefehls (und weiterer Betreibungsurkunden) des besonderen Zustelldienstes der Schweizerischen Post, so können die dadurch entstehenden Auslagen allerdings nur dann auf die verursachende Partei überwälzt werden, wenn zuvor ein erfolgloser Zustellversuch unternommen wurde ( Art. 13 Abs. 4 GebV SchKG ; Urteil 5A_426/2013 vom 14. Oktober 2013 E. 2).</w:t>
      </w:r>
    </w:p>
    <w:p>
      <w:r>
        <w:rPr>
          <w:b/>
        </w:rPr>
        <w:t>E. 2.2</w:t>
      </w:r>
    </w:p>
    <w:p>
      <w:r>
        <w:t>Die Kostenrechnung des Amtes setzt sich im vorliegenden Fall zusammen aus einer Grundgebühr von Fr. 90.-- für den Erlass, die doppelte Ausfertigung, die Eintragung und die Zustellung des Zahlungsbefehls ( Art. 16 Abs. 1 GebV SchKG ), aus der Zustelltaxe von Fr. 8.-- sowie der Auslage für die Rücksendung des Gläubigerdoppels von Fr. 5.-- ( Art. 13 Abs. 1 GebV SchKG ). Die Beschwerdeführerin stellt nicht in Frage, dass die Auslagen des Amtes zu decken sind ( Art. 13 Abs. 1 GebV SchKG ). Strittig ist einzig die Zustelltaxe der Schweizerischen Post von Fr. 8.--. Das Amt hat sich für die Zustellung des Zahlungsbefehls durch die Post entschieden und dabei die Dienstleistung "Betreibungsurkunde" gewählt. Diese Auslage beträgt Fr. 8.-- und kann vom Amt überwälzt werden, wie dies der Beschwerdeführerin von der Vorinstanz und vom Bundesgericht bereits erörtert worden ist ( BGE 138 III 25 E. 2.2.1 S. 27; Urteil 5A_715/2013 vom 28. November 2013 E. 2.2). Die Beschwerdeführerin vermengt die im konkreten Fall gewählte postalische Zustellung "Betreibungsurkunde" mit dem besonderen Zustelldienst der Schweizerischen Post. Nur letzterer setzt zuvor einen erfolglosen Zustellversuch voraus (vgl. E. 2.1). Damit ist die angefochtene Kostenrechnung im Ergebnis nicht zu beanstanden.</w:t>
      </w:r>
    </w:p>
    <w:p>
      <w:r>
        <w:rPr>
          <w:b/>
        </w:rPr>
        <w:t>E. 3</w:t>
      </w:r>
    </w:p>
    <w:p>
      <w:r>
        <w:t>Soweit die Beschwerdeführerin rügt, die Vorinstanz sei auf ihre Argumente nicht eingetreten, macht sie sinngemäss die Verletzung des rechtlichen Gehörs geltend. Aufgrund dieses allgemein gehaltenen Vorwurfs lässt sich anhand des einlässlich begründeten Entscheides keine Verletzung eines verfassungsmässigen Rechts erkennen (vgl. E. 1.2; BGE 135 III 670 E. 3.3.1 S. 677). Ebenso wenig wird aus der Beschwerde erkennbar, inwieweit die Vorinstanz den Sachverhalt im Sinne von Art. 20a Abs. 2 Ziff. 2 SchKG ungenügend abgeklärt haben sollte. Nicht eingetreten werden kann schliesslich auf den Vorwurf der Gehörsverletzung gegenüber dem Betreibungsamt und der Betriebenen, da die Beschwerdeführerin durch eine allfällige Verletzung dieses verfassungsmässigen Rechts nicht in ihren schutzwürdigen Interessen betroffen ist ( Art. 76 Abs. 1 lit. b BGG ).</w:t>
      </w:r>
    </w:p>
    <w:p>
      <w:r>
        <w:rPr>
          <w:b/>
        </w:rPr>
        <w:t>E. 4</w:t>
      </w:r>
    </w:p>
    <w:p>
      <w:r>
        <w:t>Schliesslich wehrt sich die Beschwerdeführerin gegen die Auferlegung von Verfahrenskosten durch die kantonalen Aufsichtsbehörden. Entgegen ihrer blossen Behauptung beurteilte die Vorinstanz das Prozessverhalten der Beschwerdeführerin angesichts der klaren Rechtslage als mutwillig. Inwiefern dies nicht der Fall sein sollte, lässt sich der Beschwerde nicht entnehmen. Zudem geht aus dem Wortlaut der massgeblichen Bestimmung hervor, dass bei mutwilliger Prozessführung Bussen sowie Gebühren und Auslagen auferlegt werden können ( Art. 20a Abs. 2 Ziff. 5 SchKG ). Daraus folgt, dass die Entscheidgebühr nicht notwendigerweise mit einer Busse verbunden sein muss, wie die Beschwerdeführerin wohl meint.</w:t>
      </w:r>
    </w:p>
    <w:p>
      <w:r>
        <w:rPr>
          <w:b/>
        </w:rPr>
        <w:t>E. 5</w:t>
      </w:r>
    </w:p>
    <w:p>
      <w:r>
        <w:t>Nach dem Dargelegten ist der Beschwerde kein Erfolg beschieden. Ausgangsgemäss trägt die Beschwerdeführerin die Kosten ( Art. 66 Abs. 1 BGG ). Für die Zusprechung einer Parteientschädigung besteht kein Anlass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