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49/2011 vom 12. Juli 2011</w:t>
      </w:r>
    </w:p>
    <w:p>
      <w:r>
        <w:t>Bundesgericht, 2011-07-12, FR</w:t>
      </w:r>
    </w:p>
    <w:p>
      <w:r>
        <w:rPr>
          <w:b/>
        </w:rPr>
        <w:t xml:space="preserve">Quelle: </w:t>
      </w:r>
      <w:r>
        <w:t>https://mcp.opencaselaw.ch/entscheid/bger_5A_49_2011</w:t>
      </w:r>
    </w:p>
    <w:p>
      <w:r>
        <w:t>FR: TF 5A 49/2011 du 12 juillet 2011</w:t>
      </w:r>
    </w:p>
    <w:p>
      <w:r>
        <w:t>IT: TF 5A 49/2011 del 12 luglio 2011</w:t>
      </w:r>
    </w:p>
    <w:p>
      <w:pPr>
        <w:pStyle w:val="Heading2"/>
      </w:pPr>
      <w:r>
        <w:t>Regeste</w:t>
      </w:r>
    </w:p>
    <w:p>
      <w:r>
        <w:t>mainlevée définitive de l'opposition, exequatur | Droit des poursuites et faillites</w:t>
      </w:r>
    </w:p>
    <w:p>
      <w:pPr>
        <w:pStyle w:val="Heading2"/>
      </w:pPr>
      <w:r>
        <w:t>Erwägungen</w:t>
      </w:r>
    </w:p>
    <w:p>
      <w:r>
        <w:rPr>
          <w:b/>
        </w:rPr>
        <w:t>E. 1</w:t>
      </w:r>
    </w:p>
    <w:p>
      <w:r>
        <w:t>Le jugement entrepris, qui confirme l' exequatur d'une décision étrangère dans le cadre de la procédure de mainlevée définitive de l'opposition ( art. 81 al. 3 LP ), peut faire l'objet d'un recours en matière civile au Tribunal fédéral (art. 72 al. 2 let. a et b ch. 1 LTF; cf . parmi plusieurs: arrêts 5A_815/2008 du 11 février 2009 consid. 1.1; 5A_293/2009 du 2 juillet 2009 consid. 1.1), lorsque, comme en l'espèce, la valeur litigieuse atteint 30'000 fr. ( art. 74 al. 1 let. b LTF ). A teneur de l' art. 46 al. 1 let . c LTF, les délais de recours fixés en jours par la loi ne courent pas du 18 décembre au 2 janvier inclus (arrêt 2C_174/2008 du 29 février 2008 consid. 2.1). Le recours est ainsi exercé en temps utile ( art. 100 al. 1 LTF ). Déposé à l'encontre d'une décision finale ( art. 90 LTF ) prise par la dernière autorité cantonale statuant sur recours ( art. 75 LTF ), il est aussi recevable sous l'angle de ces dispositions. La recourante a qualité pour recourir ( art. 76 al. 1 LTF ). Il résulte de ce qui précède que le recours en matière civile est en principe recevable. La recevabilité du recours en matière civile rend irrecevable le recours constitutionnel subsidiaire exercé parallèlement par la recourante contre l'arrêt critiqué ( art. 113 LTF ; ATF 134 II 379 consid. 1.2 p. 382). Il sied toutefois de préciser que les griefs d'ordre constitutionnel qu'elle a soulevés dans cette voie de droit seront examinés dans le recours en matière civile, l'intitulé erroné d'un recours ne devant pas nuire à son auteur ( ATF 134 III 379 consid. 1.1 p. 382); en effet, la notion de droit fédéral de l' art. 95 let. a LTF englobe le droit constitutionnel ( ATF 135 III 670 consid. 1. 4 p. 674).</w:t>
      </w:r>
    </w:p>
    <w:p>
      <w:r>
        <w:rPr>
          <w:b/>
        </w:rPr>
        <w:t>E. 2</w:t>
      </w:r>
    </w:p>
    <w:p>
      <w:r>
        <w:t>Dans un premier grief, la recourante critique la décision du juge précédent de ne pas avoir sursis à statuer sur la procédure d'exequatur en raison du recours introduit contre l'arrêt rendu par la Cour d'appel de Paris.</w:t>
      </w:r>
    </w:p>
    <w:p>
      <w:r>
        <w:rPr>
          <w:b/>
        </w:rPr>
        <w:t>E. 2.1</w:t>
      </w:r>
    </w:p>
    <w:p>
      <w:r>
        <w:t>Les dispositions relatives à l'exequatur de la Convention de Lugano révisée ne sont en principe applicables qu'aux requêtes en reconnaissance ou en exécution d'une décision ou d'un acte authentique introduites dans l'Etat requis postérieurement à leur entrée en vigueur, à savoir le 1 er janvier 2011 ( art. 63 par. 1 CL ). Cette Convention est en outre applicable aux requêtes d'exequatur introduites avant le 1er janvier 2011, mais dont la décision a été rendue après son entrée en vigueur ( art. 63 par. 2 CL ; Kropholler/von Hein, Europäisches Zivilprozessrecht, 9e éd., 2011, n° 4 ad art. 66). En l'espèce, la requête d'exequatur de l'ordonnance française a été présentée au juge suisse sous l'empire de la Convention de Lugano dans sa teneur en vigueur jusqu'au 31 décembre 2010. L'arrêt attaqué a été expédié aux parties le 20 décembre 2010, de sorte que le présent recours doit être examiné à la lumière des dispositions de l'ancienne teneur de la Convention de Lugano (ci-après: aCL).</w:t>
      </w:r>
    </w:p>
    <w:p>
      <w:r>
        <w:rPr>
          <w:b/>
        </w:rPr>
        <w:t>E. 2.2</w:t>
      </w:r>
    </w:p>
    <w:p>
      <w:r>
        <w:t>En vertu de l'art. 38 par. 1 aCL, la juridiction saisie du recours contre une décision d'exequatur peut, à la requête de la partie qui l'a formé, surseoir à statuer si la décision étrangère fait, dans l'État d'origine, l'objet d'un recours ordinaire. Selon la jurisprudence de la Cour de justice des Communautés européennes, dont il y a lieu de tenir compte pour interpréter la Convention de Lugano ( ATF 131 III 227 consid. 3.1 p. 230), les art. 37 par. 2 et 38 par. 1 de la Convention parallèle concernant la compétence judiciaire et l'exécution des décisions en matière civile et commerciale du 27 septembre 1968 (Convention de Bruxelles) doivent être interprétés en ce sens qu'une décision par laquelle la juridiction d'un État contractant, saisie d'un recours contre l'autorisation d'exécuter une décision judiciaire exécutoire rendue dans un autre État contractant, refuse de surseoir à statuer, ne constitue pas une " décision rendue sur recours " au sens de l'art. 37 aCL et ne peut, dès lors, pas faire l'objet du recours prévu par cette disposition (arrêt de la CJCE du 11 août 1995 C-432/93 Société d'informatique service réalisation organisation [S.I.S.R.O] contre Ampersand Software BV , Rec. 1995 I.2269; Hélène Gaudemet-Tallon, Compétence et exécution des jugements en Europe, 3e éd., 2002, n° 461 p. 380; GEIMER/SCHÜTZE, Europäisches Zivilverfahrensrecht, 3e éd., 2010, n° 3 s. ad art. 44). Ainsi, les art. 37 et 38 aCL, interprétés à la lumière de la jurisprudence de la Cour de justice des Communautés européennes, s'opposent à l'ouverture d'un recours devant le Tribunal fédéral contre une décision refusant la suspension de la procédure d'exequatur. Faute de voie de recours ouverte au Tribunal fédéral, ce grief est irrecevable.</w:t>
      </w:r>
    </w:p>
    <w:p>
      <w:r>
        <w:rPr>
          <w:b/>
        </w:rPr>
        <w:t>E. 3</w:t>
      </w:r>
    </w:p>
    <w:p>
      <w:r>
        <w:t>Dans un second grief, la recourante reproche au juge précédent d'avoir retenu un taux d'intérêt majoré de cinq points pour la période postérieure au 31 août 2009; or cette majoration ne serait pas admissible, dès lors que le jugement étranger ne la prévoit pas.</w:t>
      </w:r>
    </w:p>
    <w:p>
      <w:r>
        <w:rPr>
          <w:b/>
        </w:rPr>
        <w:t>E. 3.1</w:t>
      </w:r>
    </w:p>
    <w:p>
      <w:r>
        <w:t>Le mémoire de recours doit contenir les conclusions et les moyens à l'appui de celles-ci ( art. 42 al. 2 LTF ). Pour satisfaire à cette obligation de motiver, le recourant doit discuter " au moins de manière succincte les considérants de la décision attaquée " ( ATF 134 II 244 consid. 2.1 p. 245/246; arrêt 8C_650/2009 du 21 janvier 2010 consid. 2.2). A cet égard, le Message du Conseil fédéral indique que la nouvelle loi « pose des exigences assez élevées dans la motivation des mémoires de recours » (Message, FF 2001 p. 4031, ch. 2.2.4). En particulier, il ne suffit pas que le recourant émette des récriminations ou des critiques générales sans rapport avec un considérant dûment cité ( ATF 127 III 529 consid. 3b p. 531; 116 II 745 consid. 3 p. 748 s.; arrêt 4A_72/2007 du 22 août 2007 consid. 4.1.1).</w:t>
      </w:r>
    </w:p>
    <w:p>
      <w:r>
        <w:rPr>
          <w:b/>
        </w:rPr>
        <w:t>E. 3.2</w:t>
      </w:r>
    </w:p>
    <w:p>
      <w:r>
        <w:t>L'autorité précédente, se référant aux art. 1153-1 al. 1 du Code civil français, L313-2 al. 1 et L313-3 al. 1 du Code monétaire et financier français, a retenu, d'une part, que le juge suisse saisi d'une requête d'exequatur d'un jugement français était habilité à compléter tant le défaut d'indication de l'intérêt moratoire que du dies a quo et du taux légal de cet intérêt et, d'autre part, que, en cas de condamnation judiciaire, le taux de l'intérêt légal était majoré de cinq points à l'expiration d'un délai de deux mois à compter du jour où la décision de justice était devenue exécutoire. La recourante se borne à objecter que la majoration de cinq points retenue par le juge de la mainlevée n'a pas été mentionnée dans l'arrêt de la Cour d'appel de Paris du 19 février 2010; ce faisant, elle n'expose pas en quoi la décision entreprise, dont elle ne discute même pas le motif, violerait le droit. Le recours est dès lors irrecevable sur ce point également ( cf. supra , consid. 3.1).</w:t>
      </w:r>
    </w:p>
    <w:p>
      <w:r>
        <w:rPr>
          <w:b/>
        </w:rPr>
        <w:t>E. 4</w:t>
      </w:r>
    </w:p>
    <w:p>
      <w:r>
        <w:t>Vu l'issue de la procédure, il y a lieu de mettre les frais à la charge de la recourante qui succombe (art. 66 al. 1, art. 68 al. 1 et 2 LTF ). Il n'y a pas lieu d'allouer de dépens à l'intimée, qui n'a pas été invitée à répondre sur le fond et s'en est remise à justice quant à la requête d'effet suspensif, par ailleurs admise.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