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499/2020 vom 22. Juni 2020</w:t>
      </w:r>
    </w:p>
    <w:p>
      <w:r>
        <w:t>Bundesgericht, 2020-06-22, DE</w:t>
      </w:r>
    </w:p>
    <w:p>
      <w:r>
        <w:rPr>
          <w:b/>
        </w:rPr>
        <w:t xml:space="preserve">Quelle: </w:t>
      </w:r>
      <w:r>
        <w:t>https://mcp.opencaselaw.ch/entscheid/bger_5A_499_2020</w:t>
      </w:r>
    </w:p>
    <w:p>
      <w:r>
        <w:t>FR: TF 5A 499/2020 du 22 juin 2020</w:t>
      </w:r>
    </w:p>
    <w:p>
      <w:r>
        <w:t>IT: TF 5A 499/2020 del 22 giugno 2020</w:t>
      </w:r>
    </w:p>
    <w:p>
      <w:pPr>
        <w:pStyle w:val="Heading2"/>
      </w:pPr>
      <w:r>
        <w:t>Regeste</w:t>
      </w:r>
    </w:p>
    <w:p>
      <w:r>
        <w:t>Pfändungsverfahren | Schuldbetreibungs- und Konkursrecht</w:t>
      </w:r>
    </w:p>
    <w:p>
      <w:pPr>
        <w:pStyle w:val="Heading2"/>
      </w:pPr>
      <w:r>
        <w:t>Erwägungen</w:t>
      </w:r>
    </w:p>
    <w:p>
      <w:r>
        <w:rPr>
          <w:b/>
        </w:rPr>
        <w:t>E. 1</w:t>
      </w:r>
    </w:p>
    <w:p>
      <w:r>
        <w:t>Im Rahmen eines Pfändungsverfahrens gegen die Beschwerdeführerin wurde das Betreibungsamt Zürich 11 vom Betreibungsamt Zürich 1 rechtshilfeweise angewiesen, die von der Beschwerdeführerin bei der C.________ gemietete Lagerbox zu begutachten und allfällige Aktiven darin einzupfänden. Am 18. März 2020 wurde die Pfändung vom Pfändungsbeamten B.________ in Anwesenheit eines Mitarbeiters der Lagerhalterin vollzogen. Laut Pfändungsbericht befanden sich in der Lagerbox lediglich Kleider und persönliche Effekten der Beschwerdeführerin, die in Anwendung von Art. 92 Abs. 2 SchKG aus der Pfändung ausgeschlossen wurden. Gemäss Stichproben gab es in den Lagerräumlichkeiten keine verwertbaren Aktiven. Am 2. April 2020 erstattete die Beschwerdeführerin beim Bezirksgericht Zürich Anzeige wegen "EINBRUCH PERSON HR. B.________ IN MEIN PRIVAT BOX NR. xxx" (recte: Nr. yyy). Mit Zirkulationsbeschluss vom 7. April 2020 trat das Bezirksgericht auf die Beschwerde nicht ein. Dagegen erhob die Beschwerdeführerin am 23. April 2020 Beschwerde. Mit Urteil vom 8. Juni 2020 wies das Obergericht die Beschwerde ab, soweit es darauf eintrat. Gegen diesen Entscheid hat die Beschwerdeführerin am 17. Juni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erwogen, soweit die Beschwerdeführerin eine Disziplinarmassnahme gegen den Betreibungsbeamten verlange, sei die II. Zivilkammer als obere Aufsichtsbehörde in Betreibungssachen nicht zuständig. Eine Überweisung an die zuständige Verwaltungskommission könne unterbleiben, da die Anzeige erstattende Person keine Disziplinarbeschwerde erheben könne. Nicht einzutreten sei auf die Beschwerde, soweit die Beschwerdeführerin vorbringe, die Forderung bestehe nicht. Im Übrigen setze sich die Beschwerdeführerin mit dem angefochtenen Entscheid nicht auseinander, sie bringe unzulässige neue Tatsachenbehauptungen vor und es fehle an einem praktischen Verfahrenszweck, da sie die notwendigen Akten erhalten habe, soweit die Beschwerde die Akteneinsicht betreffe, und sodann aus der Beschwerde nicht hervorgehe, dass die Beschwerdeführerin darauf abziele, die Folgen von Fehlern im Pfändungsverfahren durch eine neue Pfändung rückgängig zu machen. Vielmehr möchte sie abklären lassen, ob der Beamte seine Sorgfaltspflichten bei der Pfändung verletzt habe, und sie mache unter anderem geltend, sie habe ein neues Schloss kaufen müssen. Für Haftungsklagen nach Art. 5 SchKG sei die Aufsichtsbehörde jedoch nicht zuständig. Im Übrigen sei das Vorgehen des Betreibungsamtes nicht zu beanstanden: Die Beschwerdeführerin sei am Tag der ordentlich angekündigten Pfändung am Pfändungsort nicht persönlich anwesend gewesen und ihre C.________-Box sei verschlossen gewesen, weshalb sie habe geöffnet werden müssen.</w:t>
      </w:r>
    </w:p>
    <w:p>
      <w:r>
        <w:rPr>
          <w:b/>
        </w:rPr>
        <w:t>E. 4</w:t>
      </w:r>
    </w:p>
    <w:p>
      <w:r>
        <w:t>Die Beschwerdeführerin stellt keine Anträge, wie dies für eine Beschwerde erforderlich wäre ( Art. 42 Abs. 1 BGG ). Zusammengefasst macht sie geltend, sie sei über die Pfändung nicht informiert worden, habe keine Akteneinsicht erhalten und nach der Pfändung seien ihre Sachen verschoben gewesen. Dabei schildert sie jedoch bloss ihre Sicht auf die Vorgänge rund um die Pfändung und auf weitere Lebensumstände. Eine Sachverhaltsrüge ( Art. 97 Abs. 1 BGG ) fehlt. Mit den genannten Erwägungen des Obergerichts setzt sie sich nicht auseinander und sie zeigt nicht auf, inwiefern sie gegen Recht verstossen sollen. Die Beschwerde enthält damit offensichtlich keine hinreichende Begründung. Auf sie ist im vereinfachten Verfahren durch das präsidierende Mitglied der Abteilung nicht einzutreten ( Art. 108 Abs. 1 lit. b BGG ).</w:t>
      </w:r>
    </w:p>
    <w:p>
      <w:r>
        <w:rPr>
          <w:b/>
        </w:rPr>
        <w:t>E. 5</w:t>
      </w:r>
    </w:p>
    <w:p>
      <w:r>
        <w:t>Es rechtfertigt sich aufgrund der konkreten Umstände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