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499/2019 vom 25. Juni 2019</w:t>
      </w:r>
    </w:p>
    <w:p>
      <w:r>
        <w:t>Bundesgericht, 2019-06-25, DE</w:t>
      </w:r>
    </w:p>
    <w:p>
      <w:r>
        <w:rPr>
          <w:b/>
        </w:rPr>
        <w:t xml:space="preserve">Quelle: </w:t>
      </w:r>
      <w:r>
        <w:t>https://mcp.opencaselaw.ch/entscheid/bger_5A_499_2019</w:t>
      </w:r>
    </w:p>
    <w:p>
      <w:r>
        <w:t>FR: TF 5A 499/2019 du 25 juin 2019</w:t>
      </w:r>
    </w:p>
    <w:p>
      <w:r>
        <w:t>IT: TF 5A 499/2019 del 25 giugno 2019</w:t>
      </w:r>
    </w:p>
    <w:p>
      <w:pPr>
        <w:pStyle w:val="Heading2"/>
      </w:pPr>
      <w:r>
        <w:t>Regeste</w:t>
      </w:r>
    </w:p>
    <w:p>
      <w:r>
        <w:t>Feststellung der Rechtswidrigkeit bzw. Nichtigkeit einer Verfügung der seinerzeitigen Vormundschaftsbehörde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Appellationsgericht hat einen Nichteintretensentscheid gefällt und diesen mit der längst abgelaufenen Beschwerdefrist begründet. Streitgegenstand ist deshalb grundsätzlich nur die Frage, ob die Vorinstanz zu Recht einen Nichteintretensentscheid gefällt hat ( BGE 135 II 38 E. 1.2 S. 41). Damit setzt sich der Beschwerdeführer entgegen der in E. 1 dargestellten Begründungspflicht mit keinem Wort auseinander, weshalb die Beschwerde unbegründet bleibt.</w:t>
      </w:r>
    </w:p>
    <w:p>
      <w:r>
        <w:rPr>
          <w:b/>
        </w:rPr>
        <w:t>E. 3</w:t>
      </w:r>
    </w:p>
    <w:p>
      <w:r>
        <w:t>Die Ausführungen des Appellationsgerichts in der Sache sind einzig im Sinn einer Eventualbegründung erfolgt mit Rücksicht auf das Interesse des Beschwerdeführers an der Aufarbeitung seiner Biografie. Diesbezüglich ist im Übrigen, bei allem Verständnis für die offensichtlich bis heute andauernde seelische Belastung für den Beschwerdeführer, keine Beschwerdelegitimation im Sinn von Art. 76 Abs. 1 lit. b BGG auszumachen: Die vor fast 40 Jahren erfolgte Platzierung im Schulheim liesse sich selbst dann, wenn sie sich wie vom Beschwerdeführer behauptet als rechtswidrig oder gar nichtig erweisen würde, nicht mehr rückgängig machen, weshalb kein aktuelles und praktisches Interesse an einer Feststellung besteht, zumal für Schadenersatz- und Genugtuungsansprüche wie auch für Feststellungen mit Genugtuungscharakter, soweit es um Handlungen geht, welche auf Bundesrecht basierten, die Klage nach Art. 454 ZGB zur Verfügung steht ( BGE 140 III 92 E. 2 S. 94 ff.).</w:t>
      </w:r>
    </w:p>
    <w:p>
      <w:r>
        <w:rPr>
          <w:b/>
        </w:rPr>
        <w:t>E. 4</w:t>
      </w:r>
    </w:p>
    <w:p>
      <w:r>
        <w:t>Nach dem Gesagten ist im Verfahren nach Art. 108 Abs. 1 lit. a und b BGG mit Präsidialentscheid auf die Beschwerde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