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5A_499/2014 vom 18. November 2014</w:t>
      </w:r>
    </w:p>
    <w:p>
      <w:r>
        <w:t>Bundesgericht, 2014-11-18, DE</w:t>
      </w:r>
    </w:p>
    <w:p>
      <w:r>
        <w:rPr>
          <w:b/>
        </w:rPr>
        <w:t xml:space="preserve">Quelle: </w:t>
      </w:r>
      <w:r>
        <w:t>https://mcp.opencaselaw.ch/entscheid/bger_5A_499_2014</w:t>
      </w:r>
    </w:p>
    <w:p>
      <w:r>
        <w:t>FR: TF 5A_499/2014 du 18 novembre 2014</w:t>
      </w:r>
    </w:p>
    <w:p>
      <w:r>
        <w:t>IT: TF 5A_499/2014 del 18 novembre 2014</w:t>
      </w:r>
    </w:p>
    <w:p>
      <w:pPr>
        <w:pStyle w:val="Heading2"/>
      </w:pPr>
      <w:r>
        <w:t>Erwägungen</w:t>
      </w:r>
    </w:p>
    <w:p>
      <w:r>
        <w:rPr>
          <w:b/>
        </w:rPr>
        <w:t>E. 1.1</w:t>
      </w:r>
    </w:p>
    <w:p>
      <w:r>
        <w:t>Im vorliegenden Fall hat der Beschwerdeführer um die Durchsetzung seines Besuchsrechts ersucht. Der angefochtene Entscheid, der eine formelle Rechtsverweigerung bzw. Rechtsverzögerung verneint, beendet kein hängiges Hauptverfahren und gilt daher nicht als Endentscheid, sondern als Zwischenentscheid im Sinne von Art. 93 Abs. 1 BGG . Weil die geltend gemachte Rechtsverzögerung und damit eine allfällige Verletzung des Anspruchs auf Beurteilung innert angemessener Frist ( Art. 29 Abs. 1 BV ) selbst mit einem für den Beschwerdeführer günstigen Endentscheid nicht behoben würde, ist von einem drohenden nicht wieder gutzumachenden Nachteil im Sinne von Art. 93 Abs. 1 lit. a BGG auszugehen (zum Ganzen: Urteil 5A_208/2014 vom 30. Juli 2014 E. 1; 5A_383/2014 vom 25. Juli 2014 E. 1). Bei Zwischenentscheiden folgt der Rechtsweg jenem der Hauptsache ( BGE 137 III 380 E. 1.1 S. 382). Diese beschlägt das Besuchsrecht des Beschwerdeführers gegenüber seiner Tochter und damit eine nicht vermögensrechtliche Zivilsache im Sinne von Art. 72 Abs. 1 bzw. Abs. 2 lit. b Ziff. 6 BGG.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1.2</w:t>
      </w:r>
    </w:p>
    <w:p>
      <w:r>
        <w:t>Gegenstand der Beschwerde ist ausschliesslich die Frage der Rechtsverweigerung bzw. der Rechtsverzögerung durch die Beschwerdegegnerin. Soweit der Beschwerdeführer materielle Rügen im Zusammenhang mit allfälligen Anordnungen der KESB vorträgt, ist auf die Beschwerde von vornherein nicht einzutreten.</w:t>
      </w:r>
    </w:p>
    <w:p>
      <w:r>
        <w:rPr>
          <w:b/>
        </w:rPr>
        <w:t>E. 2</w:t>
      </w:r>
    </w:p>
    <w:p>
      <w:r>
        <w:t>Im vorliegenden Fall hat sich die KESB mit den Anträgen des Beschwerdeführers befasst und mit Beschluss vom 23. Dezember 2013 die Besuchskontakte einstweilen bis Ende Juni 2014 neu geregelt, indem sie an zwei einzelnen Tagen pro Monat Kontakte von Vater und Tochter in einem Besuchstreff in C.________ (wie z.B. im D.________) vorsah. Angesichts dieses Beschlusses, von dem das Bundesgericht erst aufgrund einer Beschwerde Kenntnis erhielt (5A_464/2014 act. 1 und 2), verfügt der Beschwerdeführer über kein aktuelles Interesse an der Behandlung seiner gegenüber der KESB erhobenen Vorwürfe der Rechtsverweigerung bzw. Rechtsverzögerung ( BGE 130 I 312 E. 5.3; 125 V 373 E. 1; Urteil 9C_773/2008 vom 12. Dezember 2008 E. 4.3). Die Rechtsprechung tritt in solchen Fällen dennoch auf die Beschwerde ein, wenn der Beschwerdeführer hinreichend substanziiert und in vertretbarer Weise eine Verletzung der EMRK ("grief défendable") behauptet und die blosse Feststellung einer unzulässigen Rechtsverzögerung dem Beschwerdeführer eine Art Genugtuung zu verschaffen vermag ( BGE 129 V 411 E. 1.3; vgl. z.B. Urteil 6B_801/2008 vom 12. März 2009 E. 3.5).</w:t>
      </w:r>
    </w:p>
    <w:p>
      <w:r>
        <w:rPr>
          <w:b/>
        </w:rPr>
        <w:t>E. 3</w:t>
      </w:r>
    </w:p>
    <w:p>
      <w:r>
        <w:t>Der Beschwerdeführer hat in seiner Beschwerde zwar Verletzungen der EMRK behauptet und entsprechende Feststellungsbegehren gestellt. Diese erweisen sich allerdings als neu und damit unzulässig ( Art. 99 Abs. 2 BGG ), zumal er sie weder vor dem Bezirksrat noch vor Obergericht, sondern erstmals vor Bundesgericht vorgetragen hat ( BGE 104 II 209 E. 1 S. 210; Urteil 4C.126/2001 vom 7. Februar 2003 E. 1). Damit kommt eine Behandlung der Beschwerde nicht infrage.</w:t>
      </w:r>
    </w:p>
    <w:p>
      <w:r>
        <w:rPr>
          <w:b/>
        </w:rPr>
        <w:t>E. 4</w:t>
      </w:r>
    </w:p>
    <w:p>
      <w:r>
        <w:t>Da das aktuelle Interesse an der Beschwerde bereits anlässlich deren Einreichung nicht mehr gegeben war, ist auf die Eingabe des Beschwerdeführers nicht einzutreten ( BGE 140 III 92 E. 3; 136 III 497 E. 1.2; 118 Ia 488 E. 1a). Bei diesem Ausgang des Verfahrens wird der Beschwerdeführer kostenpflichtig ( Art. 66 Abs. 1 BGG ). Eine 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