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5A_498/2017 vom 23. Februar 2018</w:t>
      </w:r>
    </w:p>
    <w:p>
      <w:r>
        <w:t>Bundesgericht, 2018-02-23, DE</w:t>
      </w:r>
    </w:p>
    <w:p>
      <w:r>
        <w:rPr>
          <w:b/>
        </w:rPr>
        <w:t xml:space="preserve">Quelle: </w:t>
      </w:r>
      <w:r>
        <w:t>https://mcp.opencaselaw.ch/entscheid/bger_5A_498_2017</w:t>
      </w:r>
    </w:p>
    <w:p>
      <w:r>
        <w:t>FR: TF 5A_498/2017 du 23 février 2018</w:t>
      </w:r>
    </w:p>
    <w:p>
      <w:r>
        <w:t>IT: TF 5A_498/2017 del 23 febbraio 2018</w:t>
      </w:r>
    </w:p>
    <w:p>
      <w:pPr>
        <w:pStyle w:val="Heading2"/>
      </w:pPr>
      <w:r>
        <w:t>Erwägungen</w:t>
      </w:r>
    </w:p>
    <w:p>
      <w:r>
        <w:rPr>
          <w:b/>
        </w:rPr>
        <w:t>E. 1</w:t>
      </w:r>
    </w:p>
    <w:p>
      <w:r>
        <w:t>Angefochten ist der Endentscheid eines oberen kantonalen Gerichts, das auf Rechtsmittel hin kantonal letztinstanzlich über den persönlichen Verkehr zwischen dem Beschwerdegegner und dessen Sohn sowie über die Durchsetzung der entsprechenden Anordnung der KESB und damit eine nicht vermögensrechtliche Zivilsache entschieden hat (Art. 72 Abs. 1, Art. 75 und 90 BGG ). Die Beschwerde in Zivilsachen ist folglich das zutreffende Rechtsmittel. Die ebenfalls erhobene subsidiäre Verfassungsbeschwerde ist nicht zulässig ( Art. 113 BGG ). Die Beschwerde erfolgte fristgerecht ( Art. 100 Abs. 1 BGG ).</w:t>
      </w:r>
    </w:p>
    <w:p>
      <w:r>
        <w:rPr>
          <w:b/>
        </w:rPr>
        <w:t>E. 2.1</w:t>
      </w:r>
    </w:p>
    <w:p>
      <w:r>
        <w:t>Nach Art. 76 Abs. 1 Bst. b BGG ist zur Beschwerde in Zivilsachen nur berechtigt, wer ein schutzwürdiges Interesse an der Aufhebung oder Änderung des angefochtenen Entscheids hat. Die Beschwerdebefugnis setzt ein aktuelles und praktisches Interesse an der Beschwerdeführung voraus, das auch im Zeitpunkt des bundesgerichtlichen Urteils noch vorhanden sein muss. An einem derartigen Interesse fehlt es insbesondere, wenn der Nachteil auch bei Gutheissung der Beschwerde nicht mehr behoben werden kann ( BGE 140 III 92 E. 1.1; 127 III 41 E. 2b; Urteil 5A_619/2016 vom 23. März 2017 E. 1, nicht publiziert in: BGE 143 III 193 ). Ausnahmsweise verzichtet das Bundesgericht auf das Erfordernis des aktuellen und praktischen Interesses, wenn die gerügte Rechtsverletzung sich jederzeit wiederholen könnte und eine rechtzeitige gerichtliche Überprüfung im Einzelfall kaum je möglich wäre (sog. virtuelles Interesse; BGE 140 III 92 E. 1.1 ; 139 I 206 E. 1.1).</w:t>
      </w:r>
    </w:p>
    <w:p>
      <w:r>
        <w:rPr>
          <w:b/>
        </w:rPr>
        <w:t>E. 2.2</w:t>
      </w:r>
    </w:p>
    <w:p>
      <w:r>
        <w:t>Strittig ist vorab das Besuchsrecht des Beschwerdegegners in den Sommerferien 2015. Nachdem diese Ferien schon lange vorbei sind, besteht heute kein aktuelles Interesse mehr daran, die konkrete Ausgestaltung der Besuchsregelung prüfen zu lassen, zumal die KESB der Beschwerde gegen ihren Beschluss die aufschiebende Wirkung entzogen hatte (vgl. vorne Bst. A.c). Auch besteht kein Anlass, auf das Erfordernis des virtuellen Interesses zu verzichten. Die Beschwerdeführerin bringt denn auch nichts anderes vor. Damit ist auf die Beschwerde insoweit nicht einzutreten.</w:t>
      </w:r>
    </w:p>
    <w:p>
      <w:r>
        <w:t>Demgegenüber hat die Beschwerdeführerin, wie bereits das Obergericht zutreffend ausführte, insoweit ein (auch aktuelles und praktisches) Interesse an der Beschwerdeführung, als ihr noch heute ein Strafverfahren wegen Ungehorsams gegen eine amtliche Verfügung ( Art. 292 StGB ) droht (vgl. Urteil 5A_259/2010 vom 26. April 2012 E. 2.3.1).</w:t>
      </w:r>
    </w:p>
    <w:p>
      <w:r>
        <w:rPr>
          <w:b/>
        </w:rPr>
        <w:t>E. 3.1</w:t>
      </w:r>
    </w:p>
    <w:p>
      <w:r>
        <w:t>Gemäss Art. 42 Abs. 1 BGG haben Rechtsschriften die Begehren und deren Begründung zu enthalten. In der Begründung ist in gedrängter Form darzulegen, inwiefern der angefochtene Akt Recht verletzt ( Art. 42 Abs. 2 BGG ). Die Begründung muss sachbezogen sein und sich auf den Streitgegenstand beziehen und beschränken. Die beschwerdeführende Person hat in gezielter Auseinandersetzung mit den für das Ergebnis des angefochtenen Entscheids massgeblichen Erwägungen plausibel aufzuzeigen, welche Rechte bzw. Rechtsnormen die Vorinstanz verletzt haben soll ( BGE 140 III 86 E. 2; 115 E. 2).</w:t>
      </w:r>
    </w:p>
    <w:p>
      <w:r>
        <w:rPr>
          <w:b/>
        </w:rPr>
        <w:t>E. 3.2</w:t>
      </w:r>
    </w:p>
    <w:p>
      <w:r>
        <w:t>Hinsichtlich der hier noch interessierenden Strafandrohung nach Art. 292 StGB ist strittig, ob die KESB zu deren Erlass zuständig war. Diesbezüglich wiederholt die Beschwerdeführerin in ihrer Beschwerde an das Bundesgericht teils wörtlich und teils sinngemäss ihre bereits vor der Vorinstanz gemachten Ausführungen (vgl. Akten Obergericht, act. 2 S. 3 f.). Abschliessend führt sie in allgemeiner Art und Weise aus, die Argumentation des Obergerichts "vermag nicht zu überzeugen und steht nicht nur im krassen Widerspruch zur Rechtsprechung, sondern auch im konkreten Fall zur schriftlichen behördlichen Information". Eine Auseinandersetzung mit dem angefochtenen Entscheid findet damit nicht statt. Nicht zu hören ist die Beschwerdeführerin sodann, soweit sie ihre Sicht der Geschehnisse abweichend von den für das Bundesgericht grundsätzlich verbindlichen tatsächlichen Feststellungen der Vorinstanz ( Art. 105 Abs. 1 BGG ) darlegt, ohne dieser Willkür oder eine rechtswidrige Sachverhaltsfeststellung vorzuwerfen ( Art. 97 Abs. 1, Art. 105 Abs. 2 und Art. 106 Abs. 2 BGG ; vgl. BGE 140 III 264 E. 2.3 S. 266). Auf die Beschwerde ist damit auch insoweit nicht einzutreten.</w:t>
      </w:r>
    </w:p>
    <w:p>
      <w:r>
        <w:rPr>
          <w:b/>
        </w:rPr>
        <w:t>E. 4</w:t>
      </w:r>
    </w:p>
    <w:p>
      <w:r>
        <w:t>Bei diesem Ausgang des Verfahrens unterliegt die Beschwerdeführerin vollständig, weshalb ihr die Gerichtskosten aufzuerlegen sind ( Art. 66 Abs. 1 BGG ). Ein Gesuch um unentgeltliche Rechtspflege ( Art. 64 BGG ) hat sie nicht gestellt. Dem obsiegenden Beschwerdegegner sind keine ersatzpflichtigen Kosten entstanden, da keine Vernehmlassungen eingeholt wurden. Entsprechend ist keine Parteientschädigung zu 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