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5A_497/2015 vom 3. November 2015</w:t>
      </w:r>
    </w:p>
    <w:p>
      <w:r>
        <w:t>Bundesgericht, 2015-11-03, FR</w:t>
      </w:r>
    </w:p>
    <w:p>
      <w:r>
        <w:rPr>
          <w:b/>
        </w:rPr>
        <w:t xml:space="preserve">Quelle: </w:t>
      </w:r>
      <w:r>
        <w:t>https://mcp.opencaselaw.ch/entscheid/bger_5A_497_2015</w:t>
      </w:r>
    </w:p>
    <w:p>
      <w:r>
        <w:t>FR: TF 5A_497/2015 du 3 novembre 2015</w:t>
      </w:r>
    </w:p>
    <w:p>
      <w:r>
        <w:t>IT: TF 5A_497/2015 del 3 novembre 2015</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Les décisions en matière de mesures provisionnelles sont incidentes, aux termes de l' art. 93 al. 1 LTF , lorsque l'effet des mesures en cause est limité à la durée d'un procès en cours ou à entreprendre par la partie requérante, dans un délai qui lui est imparti ( ATF 137 III 324 consid. 1.1; 134 I 83 consid. 3.1). Telle est la nature de la décision entreprise, l'interdiction de faire usage de la servitude litigieuse aux fins de réaliser les travaux projetés sur la parcelle des recourants étant limitée à la durée du procès que les intimés sont invités à introduire au fond.</w:t>
      </w:r>
    </w:p>
    <w:p>
      <w:r>
        <w:rPr>
          <w:b/>
        </w:rPr>
        <w:t>E. 1.2</w:t>
      </w:r>
    </w:p>
    <w:p>
      <w:r>
        <w:t>La recevabilité du recours en matière civile suppose en conséquence que la décision querellée soit de nature à causer un préjudice irréparable aux termes de l' art. 93 al. 1 let. a LTF , la condition de l' art. 93 al. 1 let. b LTF étant d'emblée exclue s'agissant de mesures provisionnelles ( ATF 137 III 589 consid. 1.2.3; 138 III 333 consid. 1.3 ).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 138 III 190 consid. 6); un dommage économique ou de pur fait n'est pas considéré comme un dommage irréparable ( ATF 141 III 80 consid. 1.2; 138 III 333 consid. 1.3.1; 134 III 188 consid. 2.1 et consid. 2.2). Il appartient au recourant d'expliquer en quoi la décision entreprise remplit les conditions de l' art. 93 LTF , sauf si ce point découle manifestement de la décision attaquée ou de la nature de la cause ( art. 42 al. 1 et 2 LTF ; notamment: ATF 141 III 80 consid. 1.2; 138 III 46 consid. 1.2 et les références).</w:t>
      </w:r>
    </w:p>
    <w:p>
      <w:r>
        <w:t>Les recourants n'ont manifestement pas relevé le caractère incident de la décision entreprise, de sorte qu'ils ne démontrent pas le préjudice irréparable que celle-ci serait susceptible de leur causer. L'existence d'un tel dommage ne paraît ici nullement évidente: le préjudice subi n'est en effet pas définitif puisqu'il tombera dans l'hypothèse où les intimés n'obtiendront pas gain de cause dans le cadre de l'action qu'ils doivent introduire au fond; si les travaux de construction pour lesquels les recourants ont obtenu une autorisation seront manifestement retardés, il s'agit toutefois de conséquences de nature purement économique, qui ne sont pas déterminantes ici.</w:t>
      </w:r>
    </w:p>
    <w:p>
      <w:r>
        <w:rPr>
          <w:b/>
        </w:rPr>
        <w:t>E. 2</w:t>
      </w:r>
    </w:p>
    <w:p>
      <w:r>
        <w:t>En définitive, le recours est irrecevable. Les frais judiciaires doivent en conséquence être mis à la charge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