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497/2010 vom 7. Juli 2010</w:t>
      </w:r>
    </w:p>
    <w:p>
      <w:r>
        <w:t>Bundesgericht, 2010-07-07, DE</w:t>
      </w:r>
    </w:p>
    <w:p>
      <w:r>
        <w:rPr>
          <w:b/>
        </w:rPr>
        <w:t xml:space="preserve">Quelle: </w:t>
      </w:r>
      <w:r>
        <w:t>https://mcp.opencaselaw.ch/entscheid/bger_5A_497_2010</w:t>
      </w:r>
    </w:p>
    <w:p>
      <w:r>
        <w:t>FR: TF 5A 497/2010 du 7 juillet 2010</w:t>
      </w:r>
    </w:p>
    <w:p>
      <w:r>
        <w:t>IT: TF 5A 497/2010 del 7 luglio 2010</w:t>
      </w:r>
    </w:p>
    <w:p>
      <w:pPr>
        <w:pStyle w:val="Heading2"/>
      </w:pPr>
      <w:r>
        <w:t>Regeste</w:t>
      </w:r>
    </w:p>
    <w:p>
      <w:r>
        <w:t>Schuldneranweisung (Eheschutz) | Familienrecht</w:t>
      </w:r>
    </w:p>
    <w:p>
      <w:pPr>
        <w:pStyle w:val="Heading2"/>
      </w:pPr>
      <w:r>
        <w:t>Volltext</w:t>
      </w:r>
    </w:p>
    <w:p>
      <w:r>
        <w:t>Bundesgericht II. zivilrechtliche Abteilung 07.07.2010 5A 497/2010 (5A_497/2010) Tribunal fédéral IIe Cour de droit civil 07.07.2010 5A 497/2010 (5A_497/2010) Tribunale federale II Corte di diritto civile 07.07.2010 5A 497/2010 (5A_497/2010)</w:t>
      </w:r>
    </w:p>
    <w:p>
      <w:r>
        <w:t>Schuldneranweisung (Eheschutz) | Familienrecht</w:t>
      </w:r>
    </w:p>
    <w:p>
      <w:r>
        <w:t>Bundesgericht Tribunal fédéral Tribunale federale Tribunal federal {T 0/2} 5A_497/2010 Urteil vom 7. Juli 2010 II. zivilrechtliche Abteilung Besetzung Bundesrichterin Hohl, Präsidentin, Gerichtsschreiber Füllemann. Verfahrensbeteiligte X.________, Beschwerdeführer, gegen Y.________, Beschwerdegegnerin. Gegenstand Schuldneranweisung (Eheschutz), Beschwerde nach Art. 72 ff. BGG gegen den Beschluss vom 7. Juni 2010 des Obergerichts des Kantons Thurgau. Nach Einsicht in die Beschwerde gemäss Art. 72 ff. BGG gegen den Beschluss vom 7. Juni 2010 des Obergerichts des Kantons Thurgau, das auf einen verspäteten Rekurs des Beschwerdeführers gegen einen Entscheid betreffend Schuldneranweisung (auf Grund von Eheschutzverfügungen geschuldeter Ehegatten- und Kinderunterhalt) nicht eingetreten ist, in das sinngemässe Gesuch um unentgeltliche Rechtspflege, in Erwägung, dass die Beschwerde nach Art. 72 ff. BGG , die sich nur gegen letztinstanzliche kantonale Entscheide richten kann ( Art. 75 Abs. 1 BGG ), zum Vornherein unzulässig ist, soweit der Beschwerdeführer auch den erstinstanzlichen Entscheid anficht, dass das Obergericht im Beschluss vom 7. Juni 2010 erwog, der erstinstanzliche Entscheid sei am 23. April 2010 versandt, jedoch vom Beschwerdeführer innerhalb der postalischen Abholfrist nicht abgeholt worden, weshalb die 10-tägige Rekursfrist nach Ablauf der 7-tägigen Abholfrist am 4. Mai 2010 begonnen und am 14. Mai 2010 geendet habe, obwohl der Beschwerdeführer vom erstinstanzlichen Richter ausdrücklich auf diesen Fristenlauf aufmerksam gemacht worden sei, habe der Beschwerdeführer die Rekursschrift erst am 26. Mai 2010 und damit verspätet eingereicht, dass die Beschwerde nach Art. 72 ff. BGG nebst einem Antrag eine Begründung zu enthalten hat, in welcher in gedrängter Form dargelegt wird, inwiefern der angefochtene Entscheid Recht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sodann in einem Fall wie dem vorliegenden, wo sich die Beschwerde gegen einen vorsorglichen Massnahmeentscheid richtet, nur die Rüge der Verletzung verfassungsmässiger Rechte erhoben werden kann ( Art. 98 BGG ; BGE 133 III 393 E. 5 S. 396 f.; bundesgerichtliches Urteil 5A_585/2008),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keine Verletzung verfassungsmässiger Rechte geltend macht, dass er ebenso wenig in nachvollziehbarer Weise auf die entscheidenden obergerichtlichen Erwägungen eingeht, dass er erst recht nicht nach den gesetzlichen Anforderungen anhand dieser Erwägungen aufzeigt, inwiefern der Beschluss des Obergerichts des Kantons Thurgau vom 7. Juni 2010 verfassungswidrig sein soll, dass somit auf die - offensichtlich keine hinreichende Begründung enthaltende - Beschwerde in Anwendung von Art. 108 Abs. 1 lit. b BGG nicht einzutreten ist, dass dem Beschwerdeführer die unentgeltliche Rechtspflege in Anbetracht der Aussichtslosigkeit der Beschwerde nicht gewährt werden kann ( Art. 64 Abs. 1 BGG ), dass der unterliegende Beschwerdeführer kostenpflichtig wird ( Art. 66 Abs. 1 BGG ), dass in den Fällen des Art. 108 Abs. 1 BGG das vereinfachte Verfahren zum Zuge kommt und die Abteilungspräsidentin zuständig ist, erkennt die Präsidentin: 1. Auf die Beschwerde wird nicht eingetreten. 2. Das Gesuch um unentgeltliche Rechtspflege wird abgewiesen. 3. Die Gerichtskosten von Fr. 500.-- werden dem Beschwerdeführer auferlegt. 4. Dieses Urteil wird den Parteien und dem Obergericht des Kantons Thurgau schriftlich mitgeteilt. Lausanne, 7. Juli 2010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