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5A_495/2018 vom 2. Juli 2018</w:t>
      </w:r>
    </w:p>
    <w:p>
      <w:r>
        <w:t>Bundesgericht, 2018-07-02, DE</w:t>
      </w:r>
    </w:p>
    <w:p>
      <w:r>
        <w:rPr>
          <w:b/>
        </w:rPr>
        <w:t xml:space="preserve">Quelle: </w:t>
      </w:r>
      <w:r>
        <w:t>https://mcp.opencaselaw.ch/entscheid/bger_5A_495_2018</w:t>
      </w:r>
    </w:p>
    <w:p>
      <w:r>
        <w:t>FR: TF 5A_495/2018 du 2 juillet 2018</w:t>
      </w:r>
    </w:p>
    <w:p>
      <w:r>
        <w:t>IT: TF 5A_495/2018 del 2 luglio 2018</w:t>
      </w:r>
    </w:p>
    <w:p>
      <w:pPr>
        <w:pStyle w:val="Heading2"/>
      </w:pPr>
      <w:r>
        <w:t>Erwägungen</w:t>
      </w:r>
    </w:p>
    <w:p>
      <w:r>
        <w:rPr>
          <w:b/>
        </w:rPr>
        <w:t>E. 1</w:t>
      </w:r>
    </w:p>
    <w:p>
      <w:r>
        <w:t>Mit Entscheid vom 9. April 2018 (CIV 18 367) erteilte das Regionalgericht Berner Jura-Seeland der Beschwerdegegnerin gegenüber dem Beschwerdeführer in der Betreibung Nr. zzz des Betreibungsamtes Seeland, Dienststelle Seeland, gestützt auf einen Eheschutzentscheid vom 20. Oktober 2010 (ausstehender Ehegattenunterhalt) definitive Rechtsöffnung für Fr. 81'510.-- nebst Zins.</w:t>
      </w:r>
    </w:p>
    <w:p>
      <w:r>
        <w:t>Dagegen erhob der Beschwerdeführer am 20. April 2018 "Einspruch" an das Obergericht des Kantons Bern. Mit Entscheid vom 1. Mai 2018 trat das Obergericht auf die Beschwerde mangels genügender Begründung nicht ein (ZK 18 181).</w:t>
      </w:r>
    </w:p>
    <w:p>
      <w:r>
        <w:t>Gegen diesen Entscheid sowie zwei weitere Entscheide des Berner Obergerichts (dazu Verfahren 5D_107/2018 und 5D_108/2018) hat der Beschwerdeführer am 11. Juni 2018 (Postaufgabe) beim Bundesgericht einen nicht unterschriebenen "Einspruch" erhoben. Aufforderungsgemäss hat der Beschwerdeführer den Mangel behoben und die Eingabe eigenhändig unterzeichnet ( Art. 42 Abs. 5 BGG ). Das Bundesgericht hat die Akten beigezogen, aber keine Vernehmlassungen eingeholt.</w:t>
      </w:r>
    </w:p>
    <w:p>
      <w:r>
        <w:rPr>
          <w:b/>
        </w:rPr>
        <w:t>E. 2</w:t>
      </w:r>
    </w:p>
    <w:p>
      <w:r>
        <w:t>Soweit sich die Eingabe des Beschwerdeführers gegen den obergerichtlichen Entscheid im Verfahren ZK 18 181 richtet, ist sie als Beschwerde in Zivilsachen entgegenzunehmen ( Art. 72 Abs. 2 lit. a, Art. 74 Abs. 1 lit. b,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geht nicht auf die obergerichtlichen Erwägungen ein (ungenügende Auseinandersetzung im kantonalen Beschwerdeverfahren mit dem erstinstanzlichen Rechtsöffnungsurteil). Stattdessen äussert sich der Beschwerdeführer zu anderen Sachverhalten und früheren Verfahren, insbesondere einer angeblichen Nichtigerklärung der Ehe durch ein philippinisches Urteil. Ohne direkten Bezug zum Rechtsöffnungsverfahren bleiben zudem seine diversen Vorwürfe an Behörden, seine ehemalige Arbeitgeberin und Rechtsanwälte, die ihn offenbar in früheren Verfahren vertreten haben. Unzulässig sind auch alle Anträge, die über den Gegenstand des Rechtsöffnungsverfahrens hinausgehen, insbesondere derjenige auf Aufhebung des Eheschutzurteils vom 20. Oktober 2010.</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