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5A_494/2023 vom 7. Juli 2023</w:t>
      </w:r>
    </w:p>
    <w:p>
      <w:r>
        <w:t>Bundesgericht, 2023-07-07, DE</w:t>
      </w:r>
    </w:p>
    <w:p>
      <w:r>
        <w:rPr>
          <w:b/>
        </w:rPr>
        <w:t xml:space="preserve">Quelle: </w:t>
      </w:r>
      <w:r>
        <w:t>https://mcp.opencaselaw.ch/entscheid/bger_5A_494_2023</w:t>
      </w:r>
    </w:p>
    <w:p>
      <w:r>
        <w:t>FR: TF 5A_494/2023 du 7 juillet 2023</w:t>
      </w:r>
    </w:p>
    <w:p>
      <w:r>
        <w:t>IT: TF 5A_494/2023 del 7 luglio 2023</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Aufsichtsbehörde begründete ihren Nichteintretensentscheid damit, dass im Wesentlichen Ausführungen zur Lebenssituation gemacht würden. Soweit ferner geltend gemacht werde, es seien zwei Betreibungen zum gleichen Sachverhalt am Laufen, gehe es um die Frage des Bestandes oder Nichtbestandes einer Schuld, worüber weder das Betreibungsamt noch die Aufsichtsbehörde entscheiden könnten.</w:t>
      </w:r>
    </w:p>
    <w:p>
      <w:r>
        <w:rPr>
          <w:b/>
        </w:rPr>
        <w:t>E. 3</w:t>
      </w:r>
    </w:p>
    <w:p>
      <w:r>
        <w:t>Mit diesen Nichteintretenserwägungen setzt sich der Beschwerdeführer nicht in sachgerichteter Weise auseinander. Soweit seine Ausführungen überhaupt verständlich sind, handelt es sich um Polemik gegen den Staat und Behördenvertreter, die ihr Amt missbrauchen und ihn falsch verstehen würden, obwohl er schuldunfähig sei.</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Angesichts der konkreten Umstände ist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