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5A_494/2021 vom 17. März 2022</w:t>
      </w:r>
    </w:p>
    <w:p>
      <w:r>
        <w:t>Bundesgericht, 2022-03-17, FR</w:t>
      </w:r>
    </w:p>
    <w:p>
      <w:r>
        <w:rPr>
          <w:b/>
        </w:rPr>
        <w:t xml:space="preserve">Quelle: </w:t>
      </w:r>
      <w:r>
        <w:t>https://mcp.opencaselaw.ch/entscheid/bger_5A_494_2021</w:t>
      </w:r>
    </w:p>
    <w:p>
      <w:r>
        <w:t>FR: TF 5A_494/2021 du 17 mars 2022</w:t>
      </w:r>
    </w:p>
    <w:p>
      <w:r>
        <w:t>IT: TF 5A_494/2021 del 17 marzo 2022</w:t>
      </w:r>
    </w:p>
    <w:p>
      <w:pPr>
        <w:pStyle w:val="Heading2"/>
      </w:pPr>
      <w:r>
        <w:t>Erwägungen</w:t>
      </w:r>
    </w:p>
    <w:p>
      <w:r>
        <w:rPr>
          <w:b/>
        </w:rPr>
        <w:t>E. 1.1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arrêts 5A_337/2020 du 2 décembre 2020 consid. 1; 5A_969/2017 du 19 février 2018 consid. 1.2; 5A_429/2016 du 16 septembre 2016 consid. 1.1 et les références). Le recourant a en outre qualité pour recourir ( art. 76 al. 1 LTF ). Le recours est donc en principe recevable.</w:t>
      </w:r>
    </w:p>
    <w:p>
      <w:r>
        <w:rPr>
          <w:b/>
        </w:rPr>
        <w:t>E. 1.2</w:t>
      </w:r>
    </w:p>
    <w:p>
      <w:r>
        <w:t>Le recours en matière civile des art. 72 ss LTF étant une voie de réforme ( art. 107 al. 2 LTF ), la partie recourante ne peut, en principe, se borner à demander l'annulation de la décision attaquée; elle doit, sous peine d'irrecevabilité, prendre des conclusions sur le fond du litige, à moins que le Tribunal fédéral, en cas d'admission du recours, ne soit pas en mesure de statuer lui-même ( ATF 137 II 313 consid. 1.3; 134 III 379 consid. 1.3; 133 III 489 consid. 3.1).</w:t>
      </w:r>
    </w:p>
    <w:p>
      <w:r>
        <w:t>Interprétées au regard de la motivation du recours et de la décision attaquée, les conclusions formulées en l'espèce permettent toutefois d'admettre que le recourant entend, d'une part, que le retrait à la mère de la garde et du droit de déterminer le lieu de résidence des enfants, de même que le placement de ceux-ci, la curatelle de surveillance de leur scolarité et la mise en oeuvre d'une AEMO soient confirmés, et que, d'autre part, la cause soit renvoyée à la Chambre de surveillance pour qu'elle statue sur l'autorité parentale, ce que la Cour de céans, si elle admettait le grief de violation de l' art. 29 al. 1 Cst. soulevé sur ce point par le recourant, ne pourrait faire elle-même. Les conclusions prises par celui-ci sont par conséquent recevables.</w:t>
      </w:r>
    </w:p>
    <w:p>
      <w:r>
        <w:rPr>
          <w:b/>
        </w:rPr>
        <w:t>E. 2.1</w:t>
      </w:r>
    </w:p>
    <w:p>
      <w:r>
        <w:t>L'autorité cantonale a considéré que l'ordonnance du Tribunal de protection du 4 juin 2020, dont la nature était ambiguë, avait été rendue à titre provisionnel, ce que le recourant ne conteste pas. Dès lors que celui-ci dénonce uniquement la violation de droits constitutionnels (déni de justice formel et arbitraire dans l'appréciation des preuves), savoir si la décision entreprise porte sur des mesures provisionnelles au sens de l' art. 98 LTF peut rester indécis.</w:t>
      </w:r>
    </w:p>
    <w:p>
      <w:r>
        <w:t>Le Tribunal fédéral n'examine la violation de droits constitutionnels que s'ils ont été invoqués et motivés, c'est-à-dire expressément soulevés et exposés de manière claire et détaillée (" principe d'allégation ", art. 106 al. 2 LTF ; ATF 142 II 369 consid. 2.1; 142 III 364 consid. 2.4). Le recourant qui se plaint de la violation de tels droits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Dans une section de son mémoire intitulée " Remarques liminaires sur la procédure ", le recourant reprend certains faits qu'il estime essentiels à la compréhension du cas d'espèce. En tant qu'il s'écarte des constatations de l'arrêt entrepris, les complète ou les modifie, sans formuler de grief recevable à ce sujet, ses allégations ne peuvent être prises en considération. Il en va de même s'agissant de celles figurant sous le titre " Observations intermédiaires en lien avec l'appréciation des faits de la cause et des preuves ".</w:t>
      </w:r>
    </w:p>
    <w:p>
      <w:r>
        <w:rPr>
          <w:b/>
        </w:rPr>
        <w:t>E. 3</w:t>
      </w:r>
    </w:p>
    <w:p>
      <w:r>
        <w:t>Le recourant se plaint d'un déni de justice formel au sens de l' art. 29 al. 1 Cst. Il reproche à la Chambre de surveillance de ne pas être entrée en matière sur la conclusion formulée dans son mémoire de réponse, tendant à l'attribution de l'autorité parentale exclusive en sa faveur.</w:t>
      </w:r>
    </w:p>
    <w:p>
      <w:r>
        <w:rPr>
          <w:b/>
        </w:rPr>
        <w:t>E. 3.1</w:t>
      </w:r>
    </w:p>
    <w:p>
      <w:r>
        <w:t>Selon la jurisprudence, l'autorité qui ne traite pas un grief relevant de sa compétence, motivé de façon suffisante et pertinente pour l'issue du litige, ou qui omet de statuer sur une conclusion dont elle est saisie, alors qu'elle est compétente pour le faire, commet un déni de justice formel proscrit par l' art. 29 al. 1 Cst. ( ATF 141 V 557 consid. 3.2.1; 136 I 6 consid. 2.1; 135 I 6 consid. 2.1; 133 III 235 consid. 5.2 et les références; arrêts 8C_845/2019 du 10 juin 2020 consid. 6.2; 5A_30/2020 du 6 mai 2020 consid. 4.1; 5A_775/2018 du 15 avril 2019 consid. 3.1).</w:t>
      </w:r>
    </w:p>
    <w:p>
      <w:r>
        <w:rPr>
          <w:b/>
        </w:rPr>
        <w:t>E. 3.2</w:t>
      </w:r>
    </w:p>
    <w:p>
      <w:r>
        <w:t>L'autorité cantonale a considéré que, dans sa réponse au recours, le père avait non seulement conclu au déboutement de la mère, mais également à l'attribution à lui-même de l'autorité parentale exclusive sur les enfants. Elle a toutefois estimé qu'il n'y avait pas lieu d'entrer en matière sur cette conclusion, le Tribunal de protection ne s'étant pas prononcé sur la question de l'autorité parentale conjointe.</w:t>
      </w:r>
    </w:p>
    <w:p>
      <w:r>
        <w:t>En tant que le recourant reproche à l'autorité de première instance de n'avoir pas statué sur sa requête du 17 février 2015 (cf. supra consid. A.c) tendant à l'attribution de l'autorité parentale conjointe, il perd de vue que seule la décision de la Chambre de surveillance est l'objet du présent recours ( art. 75 al. 1 LTF ); dans la mesure où elle est dirigée contre l'ordonnance du 4 juin 2020, sa critique est donc irrecevable. Pour le surplus, la cour cantonale ne peut se voir reprocher d'avoir refusé de statuer sur la conclusion en attribution de l'autorité parentale exclusive prise par le père dans son mémoire de réponse à l'appel. Elle a en effet considéré qu'il n'y avait pas lieu d'entrer en matière sur celle-ci, dans la mesure où elle était exorbitante de l'objet du litige, motivation qui n'est pas contestée par le recourant.</w:t>
      </w:r>
    </w:p>
    <w:p>
      <w:r>
        <w:t>Le grief est par conséquent mal fondé, autant qu'il est recevable.</w:t>
      </w:r>
    </w:p>
    <w:p>
      <w:r>
        <w:rPr>
          <w:b/>
        </w:rPr>
        <w:t>E. 4</w:t>
      </w:r>
    </w:p>
    <w:p>
      <w:r>
        <w:t>Le recourant reproche en outre à l'autorité précédente d'avoir arbitrairement apprécié les preuves en lien avec le caractère prétendument contradictoire de l'ordonnance du 4 juin 2020.</w:t>
      </w:r>
    </w:p>
    <w:p>
      <w:r>
        <w:rPr>
          <w:b/>
        </w:rPr>
        <w:t>E. 4.1</w:t>
      </w:r>
    </w:p>
    <w:p>
      <w:r>
        <w:t>Selon la cour cantonale, alors que le Tribunal de protection avait tout d'abord considéré que les enfants se trouvaient dans une situation délétère au domicile de leur mère en raison de l'attitude inadéquate de celle-ci, ce qui justifiait que la garde lui soit retirée, il avait ensuite estimé de façon illogique qu'il pouvait " envisager provisoirement de retarder l'exécution " d'un placement, faute de lieu adéquat pour accueillir les enfants et à la condition que des suivis et des curatelles soient mis en oeuvre. Son ordonnance était ainsi source d'une grande incertitude, dès lors qu'elle ne permettait pas de comprendre s'il avait d'ores et déjà décidé d'ordonner prochainement le placement des enfants en foyer (ce que laissaient entendre les termes " envisager provisoirement de retarder "), ou si un tel placement dépendrait de l'évolution de la situation et de l'adhésion de la mère aux diverses mesures ordonnées. Quoi qu'il en soit, cette question méritait être clarifiée.</w:t>
      </w:r>
    </w:p>
    <w:p>
      <w:r>
        <w:t>A cet égard, l'autorité cantonale a constaté que le placement des mineurs en foyer avait été préconisé par le rapport d'expertise rendu le 19 décembre 2019, autrement dit près d'un an et demi avant que l'ordonnance du 4 juin 2020 soit rendue. Alors même que, selon ce rapport, il était urgent que les enfants soient placés, aucune mesure n'avait été prise en ce sens jusqu'à la notification, le 15 décembre 2020, de ladite ordonnance. Entre-temps, les mineurs étaient demeurés auprès de leur mère et avaient intégré une école publique lors de la dernière rentrée scolaire; ils bénéficiaient par ailleurs de diverses mesures de protection. De plus, le placement préconisé par les expertes et la suppression de toutes relations avec leur mère ne faisaient pas l'unanimité parmi les divers intervenants, tels que les curateurs des enfants et leur pédopsychiatre. L'une des expertes avait d'ailleurs expliqué lors de son audition que le placement pourrait être traumatique pour les mineurs, leur générer du stress et des angoisses, ce qui, à l'évidence, ne pouvait être ignoré. Dès lors, il n'y avait pas lieu de reprocher au Tribunal de protection de n'avoir pas ordonné le placement des mineurs en foyer. Compte tenu de cette renonciation, il ne se justifiait pas de retirer leur garde à la mère. Cette mesure ne présentait en effet aucun intérêt immédiat étant donné le maintien du</w:t>
      </w:r>
    </w:p>
    <w:p>
      <w:r>
        <w:t>statu quo , les enfants continuant de vivre auprès d'elle comme par le passé.</w:t>
      </w:r>
    </w:p>
    <w:p>
      <w:r>
        <w:rPr>
          <w:b/>
        </w:rPr>
        <w:t>E. 4.2</w:t>
      </w:r>
    </w:p>
    <w:p>
      <w:r>
        <w:t>Le recourant entend démontrer que l'autorité cantonale s'est manifestement trompée dans son appréciation du caractère soi-disant contradictoire de l'ordonnance du 4 juin 2020, faute de connaître précisément les spécificités du cas particulier. Il relève que la situation des enfants au domicile de leur mère est pour le moins délétère, que les éléments du dossier démontrent qu'ils évoluent négativement, que le comportement violent du fils des parties s'accentue au fil du temps et que l'expertise susvisée mentionne un risque de passage à l'acte de leur part en cas de</w:t>
      </w:r>
    </w:p>
    <w:p>
      <w:r>
        <w:t>statu quo . Il expose aussi que le Tribunal de protection a renoncé à ordonner le placement des mineurs dans un foyer vu l'absence d'établissement disponible pour les accueillir, et non pas faute de nécessité de les éloigner de leur mère " sur le fond ". Selon le recourant, la cour cantonale s'est manifestement livrée à une appréciation arbitraire des preuves et des faits en refusant de comprendre le raisonnement pourtant clair des premiers juges, tendant à privilégier une solution pratique intermédiaire de placement des enfants chez leur mère, dans l'attente de places d'accueil disponibles. La prise en considération, par l'autorité précédente, de l'effet émotionnel de l'ordonnance de première instance pour la mère et les enfants choquerait en outre gravement le sentiment de la justice et de l'équité, car toute décision judiciaire, quel qu'en soit le contenu, s'impose intrinsèquement à ses destinataires. Ainsi, en tenant compte de la grande incertitude causée aux intéressés par cette ordonnance, l'autorité cantonale aurait procédé à une appréciation arbitraire du cas d'espèce.</w:t>
      </w:r>
    </w:p>
    <w:p>
      <w:r>
        <w:t>En focalisant de la sorte son argumentation sur le caractère contradictoire ou non de l'ordonnance du 4 juin 2020 - question qui, contrairement à ce que le recourant semble croire, n'est pas décisive pour résoudre la question litigieuse, laquelle consiste à déterminer si le retrait de la garde à la mère et la mesure de placement doivent être maintenus -, celui-ci ne démontre pas que la cour cantonale aurait, comme il le prétend sans formuler d'autre grief, arbitrairement apprécié les preuves sur ce point. S'agissant plus précisément de la mesure de placement, qu'il estime nécessaire, il se borne à affirmer que les intervenants n'ont effectivement pas adhéré totalement aux conclusions de la dernière expertise, mais souligne que le curateur de représentation a ensuite fait part au Tribunal de protection, par courrier du 21 février 2021, d'une dégradation du comportement du fils des parties, devenu de plus en plus violent au sein de l'école Montessori, ledit curateur ayant en outre relevé le comportement inadéquat de la mère à l'encontre de la directrice de cet établissement.</w:t>
      </w:r>
    </w:p>
    <w:p>
      <w:r>
        <w:t>De nature essentiellement appellatoire, ces allégations ne sont pas propres à démontrer l'arbitraire, ce d'autant que l'arrêt entrepris constate que les enfants ont désormais intégré une école publique. Dans la mesure où le recourant affirme en outre que la Chambre de surveillance se retranche artificiellement derrière des arguments liés au temps écoulé depuis le rapport d'expertise du 19 décembre 2019, ainsi qu'à la date de l'ordonnance de première instance, pour rendre une décision " arbitraire et gravement préjudiciable aux enfants en refusant de [les] placer, nonobstant les dires des experts ", sa critique, pour autant qu'elle soit suffisamment motivée, n'est pas non plus fondée. Si le juge ne peut s'écarter d'une expertise judiciaire sans raison sérieuse et doit motiver sa décision à cet égard, il n'est en principe pas lié par le rapport de l'expert, qu'il doit apprécier en tenant compte de l'ensemble des autres preuves administrées; il revient au seul juge, et non à l'expert, de tirer les conséquences juridiques d'une expertise, en particulier s'agissant du sort des enfants ( ATF 142 IV 49 consid. 2.1.3; 141 IV 369 consid. 6.1; 138 III 193 consid. 4.3.1; parmi plusieurs: arrêts 5A_415/2020 du 18 mars 2021 consid. 4.1; 5A_381/2020 du 1er septembre 2020 consid. 4.1; 5A_539/2020 du 17 août 2020 consid. 3.5.2 et les références). En l'occurrence, le recourant ne démontre pas, d'une manière conforme aux exigences de motivation de l' art. 106 al. 2 LTF , que la cour cantonale aurait arbitrairement apprécié l'expertise en question et les autres éléments de preuve dont elle disposait. Les juges précédents se sont écartés des conclusions du rapport du 19 décembre 2019 en exposant les raisons pour lesquelles ils estimaient qu'elles ne devaient pas être suivies, conformément à la jurisprudence rappelée ci-dessus. Il incombait dès lors au recourant d'établir en quoi leurs motifs n'étaient pas de nature à ébranler la pertinence de ces conclusions, lesquelles préconisaient le placement des mineurs dans un foyer. Or, son argumentation, qui consiste à opposer l'avis des expertes à celui de la cour cantonale, ne permet pas de remettre en cause l'appréciation de celle-ci.</w:t>
      </w:r>
    </w:p>
    <w:p>
      <w:r>
        <w:t>Pour autant qu'il soit suffisamment motivé, le moyen est dès lors infondé.</w:t>
      </w:r>
    </w:p>
    <w:p>
      <w:r>
        <w:rPr>
          <w:b/>
        </w:rPr>
        <w:t>E. 5</w:t>
      </w:r>
    </w:p>
    <w:p>
      <w:r>
        <w:t>La Chambre de surveillance se serait aussi livrée à une appréciation arbitraire des faits en renonçant à instaurer une curatelle</w:t>
      </w:r>
    </w:p>
    <w:p>
      <w:r>
        <w:t>ad hoc d'organisation et de surveillance de la scolarité des mineurs ainsi qu'à mettre en oeuvre une mesure AEMO.</w:t>
      </w:r>
    </w:p>
    <w:p>
      <w:r>
        <w:rPr>
          <w:b/>
        </w:rPr>
        <w:t>E. 5.1</w:t>
      </w:r>
    </w:p>
    <w:p>
      <w:r>
        <w:t>L'autorité cantonale a considéré qu'après avoir fréquenté deux établissements privés, les mineurs étaient désormais inscrits à l'école publique, ce qui, selon leur mère, était satisfaisant pour eux. Aucun élément concret ne permettait de penser que celle-ci eût l'intention de modifier une fois de plus leur scolarité, de sorte que la curatelle</w:t>
      </w:r>
    </w:p>
    <w:p>
      <w:r>
        <w:t>ad hoc instituée par le Tribunal de protection pour organiser, mettre en oeuvre et surveiller ladite scolarité, n'apparaissait pas indispensable.</w:t>
      </w:r>
    </w:p>
    <w:p>
      <w:r>
        <w:t>Quant à la mesure AEMO, ledit Tribunal avait motivé son instauration en disant qu'elle permettrait aux enfants " d'expérimenter d'autres relations avec l'adulte " et qu'elle pourrait, le cas échéant, également évoluer en vue de les accompagner dans la reprise des relations personnelles avec leur père. Or, les mineurs bénéficiaient déjà d'une prise en charge psychothérapeutique individuelle et la reprise du droit de visite serait encadrée par un autre thérapeute. Dans ce contexte, il paraissait contre-productif de mobiliser un intervenant supplémentaire. De plus, les mineurs étaient désormais régulièrement scolarisés, de sorte qu'ils expérimentaient déjà d'autres relations avec les adultes, sans qu'une mesure AEMO soit nécessaire.</w:t>
      </w:r>
    </w:p>
    <w:p>
      <w:r>
        <w:rPr>
          <w:b/>
        </w:rPr>
        <w:t>E. 5.2</w:t>
      </w:r>
    </w:p>
    <w:p>
      <w:r>
        <w:t>Le recourant expose que les enfants ont déjà été déscolarisés deux fois par leur mère, pour de longues durées, et qu'au vu de la personnalité paranoïaque de celle-ci résultant du rapport d'expertise, ainsi que de sa difficulté, plusieurs fois établie, à communiquer avec la direction des écoles fréquentées par les mineurs, une telle curatelle serait indispensable à l'intérêt de ceux-ci. Ce faisant, il se limite à opposer sa propre appréciation à celle effectuée par l'autorité cantonale, de sorte que sa critique est irrecevable ( art. 106 al. 2 LTF ). Il en va de même lorsqu'il soutient que la complexité du cas d'espèce et de la situation dans laquelle se trouvent les enfants depuis tant d'années ne permettrait pas de faire l'économie d'une mesures AEMO en sus de la prise en charge individuelle dont ils bénéficient, pour les aider à renouer avec une vie sociale normale ainsi qu'avec leur père.</w:t>
      </w:r>
    </w:p>
    <w:p>
      <w:r>
        <w:t>Vu ce qui précède, il n'y a pas lieu d'entrer en matière sur ces griefs.</w:t>
      </w:r>
    </w:p>
    <w:p>
      <w:r>
        <w:rPr>
          <w:b/>
        </w:rPr>
        <w:t>E. 6</w:t>
      </w:r>
    </w:p>
    <w:p>
      <w:r>
        <w:t>En conclusion, le recours se révèle mal fondé et ne peut donc être que rejeté, dans la mesure où il est recevable. Le recourant, qui succombe, supportera par conséquent les frais judiciaires ( art. 66 al. 1 LTF ) et versera en outre des dépens à l'intimée ( art. 68 al. 1 et 2 LTF ), dont la requête d'assistance judiciaire devient dès lors sans objet. Le curateur s'en étant rapporté à justice, tant s'agissant de l'effet suspensif que concernant le fond du recours, il n'y a pas lieu de lui allouer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