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5A_493/2007 vom 20. August 2008</w:t>
      </w:r>
    </w:p>
    <w:p>
      <w:r>
        <w:t>Bundesgericht, 2008-08-20, FR</w:t>
      </w:r>
    </w:p>
    <w:p>
      <w:r>
        <w:rPr>
          <w:b/>
        </w:rPr>
        <w:t xml:space="preserve">Quelle: </w:t>
      </w:r>
      <w:r>
        <w:t>https://mcp.opencaselaw.ch/entscheid/bger_5A_493_2007</w:t>
      </w:r>
    </w:p>
    <w:p>
      <w:r>
        <w:t>FR: TF 5A_493/2007 du 20 août 2008</w:t>
      </w:r>
    </w:p>
    <w:p>
      <w:r>
        <w:t>IT: TF 5A_493/2007 del 20 agosto 2008</w:t>
      </w:r>
    </w:p>
    <w:p>
      <w:pPr>
        <w:pStyle w:val="Heading2"/>
      </w:pPr>
      <w:r>
        <w:t>Erwägungen</w:t>
      </w:r>
    </w:p>
    <w:p>
      <w:r>
        <w:rPr>
          <w:b/>
        </w:rPr>
        <w:t>E. 1</w:t>
      </w:r>
    </w:p>
    <w:p>
      <w:r>
        <w:t>Interjeté - compte tenu des féries d'été ( art. 46 al. 1 let. b LTF ) - dans le délai légal ( art. 100 al. 1 LTF ) contre une décision rendue dans une affaire de droit public connexe au droit civil (art. 72 al. 2 let. b ch. 6 LTF) de nature non pécuniaire, le recours en matière civile est en principe recevable.</w:t>
      </w:r>
    </w:p>
    <w:p>
      <w:r>
        <w:rPr>
          <w:b/>
        </w:rPr>
        <w:t>E. 2</w:t>
      </w:r>
    </w:p>
    <w:p>
      <w:r>
        <w:t>La qualité pour former un recours en matière civile suppose que le recourant ait un intérêt juridique à l'annulation ou à la modification de la décision attaquée ( art. 76 al. 1 let. b LTF ; ATF 133 III 421 consid. 1.1 p. 425/426 et les références citées). Si le Tribunal fédéral examine d'office et librement la recevabilité des recours qui lui sont soumis ( ATF 133 III 439 consid. 2 p. 441), il incombe au recourant d'alléguer les faits qu'il considère comme propres à fonder sa qualité pour recourir lorsqu'ils ne ressortent pas à l'évidence de la décision attaquée ou du dossier de la cause ( ATF 133 II 353 consid. 1 p. 356, 249 consid. 1.1 p. 251 et 400 consid. 2 p. 404), de telle sorte que le Tribunal fédéral puisse déterminer en quoi la décision attaquée porte une atteinte à ses intérêts juridiques (cf. à propos de l' art. 88 OJ : ATF 120 Ia 227 consid. 1 p. 229; 115 Ib 505 consid. 2 in fine p. 508).</w:t>
      </w:r>
    </w:p>
    <w:p>
      <w:r>
        <w:t>En l'espèce, la recourante - dont le recours ne comprend aucun exposé des faits - ne dit mot sur sa qualité pour agir. Elle n'allègue aucun élément qui permettrait de déterminer en quoi, en sa qualité de tutrice désignée par les organes de la tutelle, elle serait habilitée à recourir contre la décision annulant sa désignation et renvoyant la cause à la justice de paix pour nomination d'un nouveau tuteur ou, en d'autres termes, en quoi la loi lui conférerait un droit à être nommée que l'autorité cantonale aurait méconnu, la lésant ainsi matériellement (cf. arrêt 5A_278/2007 du 11 décembre 2007, consid. 1).</w:t>
      </w:r>
    </w:p>
    <w:p>
      <w:r>
        <w:rPr>
          <w:b/>
        </w:rPr>
        <w:t>E. 3</w:t>
      </w:r>
    </w:p>
    <w:p>
      <w:r>
        <w:t>Vu ce qui précède, le recours est irrecevable. La recourante, qui succombe, supportera les frais de la procédure ( art. 66 al. 1 LTF ). Il n'y a pas lieu d'allouer de dépens à l'intimée, laquelle ne s'est pas déterminée sur la requête d'effet suspensif et n'a pas été invitée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