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492/2024 vom 31. Juli 2024</w:t>
      </w:r>
    </w:p>
    <w:p>
      <w:r>
        <w:t>Bundesgericht, 2024-07-31, DE</w:t>
      </w:r>
    </w:p>
    <w:p>
      <w:r>
        <w:rPr>
          <w:b/>
        </w:rPr>
        <w:t xml:space="preserve">Quelle: </w:t>
      </w:r>
      <w:r>
        <w:t>https://mcp.opencaselaw.ch/entscheid/bger_5A_492_2024</w:t>
      </w:r>
    </w:p>
    <w:p>
      <w:r>
        <w:t>FR: TF 5A 492/2024 du 31 juillet 2024</w:t>
      </w:r>
    </w:p>
    <w:p>
      <w:r>
        <w:t>IT: TF 5A 492/2024 del 31 luglio 2024</w:t>
      </w:r>
    </w:p>
    <w:p>
      <w:pPr>
        <w:pStyle w:val="Heading2"/>
      </w:pPr>
      <w:r>
        <w:t>Regeste</w:t>
      </w:r>
    </w:p>
    <w:p>
      <w:r>
        <w:t>Vollstreckung (Ausweisung) | Sachenrecht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Vorinstanz ist auf das Rechtsmittel der Beschwerdeführerin nicht eingetreten. Anfechtungsgegenstand ist deshalb grundsätzlich nur die Frage, ob sie zu Recht einen Nichteintretensentscheid gefällt hat ( BGE 135 II 38 E. 1.2; 139 II 233 E. 3.2). Diesbezüglich hat die Beschwerde eine Begründung zu enthalten, in welcher in gedrängter Form dargelegt wird, inwiefern der angefochtene Entscheid Recht verletzt ( Art. 42 Abs. 2 BGG ), was eine sachbezogene Auseinandersetzung mit dessen Erwägungen erfordert ( BGE 140 III 115 E. 2; 142 III 364 E. 2.4).</w:t>
      </w:r>
    </w:p>
    <w:p>
      <w:r>
        <w:rPr>
          <w:b/>
        </w:rPr>
        <w:t>E. 2</w:t>
      </w:r>
    </w:p>
    <w:p>
      <w:r>
        <w:t>Eine solche Darlegung erfolgt nicht ansatzweise. Die Beschwerdeführerin äussert sich - ähnlich wie in zahlreichen früheren Beschwerden - zu völlig anderen Sachen, nämlich sinngemäss zur Berichtigung ihres Familienbüchleins, zum Zivilstandsamt, zum Grundbuchamt, zur Schadensbearbeitung und sozialversicherungsrechtlichen Behandlung betreffend "Spätfolgen Vergewaltigung unter Ko-Tropfen 25.04.1987 und Unfall HWS" u.ä.m.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