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5A_492/2020 vom 17. Juni 2020</w:t>
      </w:r>
    </w:p>
    <w:p>
      <w:r>
        <w:t>Bundesgericht, 2020-06-17, DE</w:t>
      </w:r>
    </w:p>
    <w:p>
      <w:r>
        <w:rPr>
          <w:b/>
        </w:rPr>
        <w:t xml:space="preserve">Quelle: </w:t>
      </w:r>
      <w:r>
        <w:t>https://mcp.opencaselaw.ch/entscheid/bger_5A_492_2020</w:t>
      </w:r>
    </w:p>
    <w:p>
      <w:r>
        <w:t>FR: TF 5A_492/2020 du 17 juin 2020</w:t>
      </w:r>
    </w:p>
    <w:p>
      <w:r>
        <w:t>IT: TF 5A_492/2020 del 17 giugno 2020</w:t>
      </w:r>
    </w:p>
    <w:p>
      <w:pPr>
        <w:pStyle w:val="Heading2"/>
      </w:pPr>
      <w:r>
        <w:t>Erwägungen</w:t>
      </w:r>
    </w:p>
    <w:p>
      <w:r>
        <w:rPr>
          <w:b/>
        </w:rPr>
        <w:t>E. 1</w:t>
      </w:r>
    </w:p>
    <w:p>
      <w:r>
        <w:t>Die Beschwerdeführer machen geltend, es liege ein Endentscheid vor, weil der Erstinstanz kein Entscheidungsspielraum mehr verbleibe und die Rückweisung bloss der rein rechnerischen Umsetzung des oberinstanzlich Angeordneten diene, indem das Gewinnanteilsrecht für die Erstinstanz bindend bejaht worden sei.</w:t>
      </w:r>
    </w:p>
    <w:p>
      <w:r>
        <w:t>Inwieweit die Beschwerdeführer mit ihrer nicht näher ausgeführten Behauptung, es gehe bloss noch um eine rechnerische Umsetzung, ihrer Begründungspflicht nachkommen, kann offen bleiben: Sie übersehen, dass sich die Rechtsprechung, wonach diesfalls ein (Quasi-) Endentscheid vorliegen kann, ausschliesslich auf den Bereich des öffentlichen Rechts bezieht und nach der mehrmals publizierten bundesgerichtlichen Rechtsprechung im Bereich des Zivilrechts der Rückweisungsentscheid immer ein Zwischenentscheid ist ( BGE 144 III 253 E. 1.4 S. 254 f.; 145 III 42 E. 2.1 S. 45).</w:t>
      </w:r>
    </w:p>
    <w:p>
      <w:r>
        <w:t>Mithin könnte vorliegend höchstens in Bezug auf die Verneinung des Grundlagenirrtums ein Endentscheid bzw. ein Teilentscheid vorliegen. Ob dem so ist, nachdem im Dispositiv der erstinstanzliche Entscheid insgesamt aufgehoben und die Sache im Sinn der obergerichtlichen Erwägungen zur neuen Entscheidung zurückgewiesen wurde, ist nicht im Rahmen dieses Urteils zu entscheiden, denn jedenfalls liegt im Zusammenhang mit dem Gewinnanspruch ein Rückweisungs- und damit ein Zwischenentscheid vor.</w:t>
      </w:r>
    </w:p>
    <w:p>
      <w:r>
        <w:rPr>
          <w:b/>
        </w:rPr>
        <w:t>E. 2</w:t>
      </w:r>
    </w:p>
    <w:p>
      <w:r>
        <w:t>Zwischenentscheide können nur unter den besonderen Voraussetzungen von Art. 93 Abs. 1 BGG sofort mit Beschwerde beim Bundesgericht angefochten werden kann, wobei diese in der Beschwerde im Einzelnen darzulegen sind ( BGE 137 III 324 E. 1.1 S. 329; 141 IV 289 E. 1.3 S. 292). Die selbständige Anfechtbarkeit von Zwischenentscheiden bildet aus prozessökonomischen Gründen eine Ausnahme vom Grundsatz, dass sich das Bundesgericht mit jeder Angelegenheit nur einmal befassen soll ( BGE 142 III 798 E. 2.2 S. 801; 144 III 475 E. 1.2 S. 479).</w:t>
      </w:r>
    </w:p>
    <w:p>
      <w:r>
        <w:t>Ein nicht wieder gutzumachender Nachteil im Sinn von Art. 93 Abs. 1 lit. a BGG wird nicht behauptet. Er wäre denn auch nicht zu sehen, da er rechtlicher Natur sein und die Behebung auch durch einen für die beschwerdeführende Partei günstigen Entscheid in der Zukunft ausgeschlossen sein muss ( BGE 143 III 416 E. 1.3 S. 419; 144 III 475 E. 1.2 S. 479).</w:t>
      </w:r>
    </w:p>
    <w:p>
      <w:r>
        <w:t>Vielmehr machen die Beschwerdeführer geltend, dass mit der Gutheissung der Beschwerde sofort ein Endentscheid herbeigeführt und damit ein bedeutender Aufwand an Zeit und Kosten für ein weitläufiges Beweisverfahren erspart werden könne. Was das angeblich weitläufige Beweisverfahren anbelangt, belassen es die Beschwerdeführer aber bei einer nicht weiter ausgeführten Behauptung bzw. bei der blossen Zitierung des Gesetzestextes von Art. 93 Abs. 2 lit. b BGG . Dies genügt nicht; nach dem Gesagten sind die Voraussetzungen der ausnahmsweisen sofortigen Anfechtbarkeit von Zwischenentscheiden im Einzelnen darzulegen.</w:t>
      </w:r>
    </w:p>
    <w:p>
      <w:r>
        <w:rPr>
          <w:b/>
        </w:rPr>
        <w:t>E. 3</w:t>
      </w:r>
    </w:p>
    <w:p>
      <w:r>
        <w:t>Die Beschwerde ist offensichtlich nicht hinreichend begründet, weshalb auf sie nicht eingetreten werden kann und der Präsident im vereinfachten Verfahren entscheidet ( Art. 108 Abs. 1 lit. b BGG ).</w:t>
      </w:r>
    </w:p>
    <w:p>
      <w:r>
        <w:rPr>
          <w:b/>
        </w:rPr>
        <w:t>E. 4</w:t>
      </w:r>
    </w:p>
    <w:p>
      <w:r>
        <w:t>Die - zufolge Nichteintretens stark reduzierten -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