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5A_490/2020 vom 15. Dezember 2020</w:t>
      </w:r>
    </w:p>
    <w:p>
      <w:r>
        <w:t>Bundesgericht, 2020-12-15, DE</w:t>
      </w:r>
    </w:p>
    <w:p>
      <w:r>
        <w:rPr>
          <w:b/>
        </w:rPr>
        <w:t xml:space="preserve">Quelle: </w:t>
      </w:r>
      <w:r>
        <w:t>https://mcp.opencaselaw.ch/entscheid/bger_5A_490_2020</w:t>
      </w:r>
    </w:p>
    <w:p>
      <w:r>
        <w:t>FR: TF 5A_490/2020 du 15 décembre 2020</w:t>
      </w:r>
    </w:p>
    <w:p>
      <w:r>
        <w:t>IT: TF 5A_490/2020 del 15 dicembre 2020</w:t>
      </w:r>
    </w:p>
    <w:p>
      <w:pPr>
        <w:pStyle w:val="Heading2"/>
      </w:pPr>
      <w:r>
        <w:t>Erwägungen</w:t>
      </w:r>
    </w:p>
    <w:p>
      <w:r>
        <w:rPr>
          <w:b/>
        </w:rPr>
        <w:t>E. 1.1</w:t>
      </w:r>
    </w:p>
    <w:p>
      <w:r>
        <w:t>Angefochten ist der Entscheid einer kantonalen Aufsichtsbehörde, die als Rechtsmittelinstanz über eine Betreibung auf Grundpfandverwertung befunden hat. Dagegen ist die Beschwerde in Zivilsachen gegeben ( Art. 19 SchKG i.V.m. Art. 72 Abs. 2 lit. a, Art. 74 Abs. 2 lit. c und Art. 75 Abs. 2 BGG ). Der Beschwerdeführer ist als Schuldner und Eigentümer der zur Verwertung anstehenden Liegenschaft vom angefochtenen Entscheid hinreichend betroffen und daher zur Beschwerde berechtigt ( Art. 76 Abs. 1 lit. b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Die Vorinstanz ist zum Schluss gelangt, dass das Betreibungsamt dem Beschwerdeführer eine blosse Mitteilung habe zukommen lassen, die keine anfechtbare Verfügung darstelle. Der Beschwerdeführer verweist auf die bisherigen Verfahren und betont, dass nach wie vor keine aktuelle Schätzung seiner Liegenschaft vorliege.</w:t>
      </w:r>
    </w:p>
    <w:p>
      <w:r>
        <w:rPr>
          <w:b/>
        </w:rPr>
        <w:t>E. 3</w:t>
      </w:r>
    </w:p>
    <w:p>
      <w:r>
        <w:t>Anlass zur Beschwerde gibt die Schätzung einer Liegenschaft im Grundpfandverwertungsverfahren. Strittig ist insbesondere die Rechtsnatur einer betreibungsamtlichen Mitteilung.</w:t>
      </w:r>
    </w:p>
    <w:p>
      <w:r>
        <w:rPr>
          <w:b/>
        </w:rPr>
        <w:t>E. 3.1</w:t>
      </w:r>
    </w:p>
    <w:p>
      <w:r>
        <w:t>Unmittelbar nach Eingang des Verwertungsbegehrens nimmt das Betreibungsamt die Schätzung des Pfandes vor (Art. 97 Abs. 1 i.V.m. Art. 155 Abs. 1 SchKG ). Die Schätzung stellt eine Verfügung dar, die wegen formeller Fehler mit Beschwerde nach Art. 17 Abs. 1 SchKG bei der Aufsichtsbehörde angefochten werden kann ( BGE 143 III 532 E. 2.3; 133 III 537 E. 4.1; ZOPFI, in: Kurzkommentar VZG, 2011, N. 8 f. zu Art. 9). Ist die Höhe der Schätzung strittig, so kann gegen Vorschuss der Kosten innert der gesetzlichen Beschwerdefrist von zehn Tagen ( Art. 17 Abs. 2 SchKG ) eine neue Schätzung durch einen Sachverständigen verlangt werden (Art. 99 Abs. 2 i.V.m. Art. 9 Abs. 2 VZG ).</w:t>
      </w:r>
    </w:p>
    <w:p>
      <w:r>
        <w:rPr>
          <w:b/>
        </w:rPr>
        <w:t>E. 3.2</w:t>
      </w:r>
    </w:p>
    <w:p>
      <w:r>
        <w:t>Im konkreten Fall focht der Beschwerdeführer am 25. Mai 2019 die betreibungsamtliche Schätzung vom 21. Mai 2019 bei der unteren Aufsichtsbehörde an. In der Folge kam es zu verschiedenen Verfahren, deren Gegenstand von den kantonalen Aufsichtsbehörden nicht durchgehend gleich eingeordnet worden ist. In ihrem Beschluss vom 26. März 2020 wies die Erstinstanz darauf hin, dass das Obergericht die Eingaben des Beschwerdeführers vorerst als Begehren um eine Neuschätzung (Entscheid vom 2. August 2019) und später eher als Beschwerde gegen die Schätzung (Entscheid vom 23. Januar 2020) verstanden habe. Mit Blick auf die Einmaligkeit des Rechtsschutzes sei darauf nicht mehr zurückzukommen. Die Vorinstanz weist im nunmehr angefochtenen Entscheid vom 29. Mai 2020 ebenfalls auf die verschiedenen Verfahren hin. Soweit der Beschwerdeführer den Vorwurf erhebe, seine Anträge seien falsch verstanden worden, da er Verfahrensmängel geltend gemacht und nicht in erster Linie eine Neuschätzung verlangt habe, könne darauf angesichts der rechtskräftigen Entscheide in dieser Sache nicht eingegangen werden. Zudem erweise sich das Schreiben des Betreibungsamtes vom 21. Januar 2020 nicht als taugliches Anfechtungsobjekt, da es ihm am Verfügungscharakter fehle.</w:t>
      </w:r>
    </w:p>
    <w:p>
      <w:r>
        <w:rPr>
          <w:b/>
        </w:rPr>
        <w:t>E. 3.3</w:t>
      </w:r>
    </w:p>
    <w:p>
      <w:r>
        <w:t>Der Beschwerdeführer erhebt eine Reihe von Vorwürfen gegenüber dem Betreibungsamt, welche sich alle auf die Schätzung seines Grundstückes beziehen. Die geschilderten Verfahrensfehler lassen darauf schliessen, dass er die Beschwerde in Zivilsachen als Aufsichtsbeschwerde und nicht als Rechtsmittel gegen den obergerichtlichen Entscheid versteht. Dies ergibt sich auch aus den in der Replik gestellten Anträgen, welche sich auf die Arbeitsweise des Betreibungsamtes beziehen. Mit seinen Vorbringen verkennt der Beschwerdeführer die Aufgabe des Bundesgerichts, welche darin besteht, als Rechtsmittelinstanz die korrekte Anwendung von Bundesrecht in einem konkreten Fall zu überprüfen. Hingegen nimmt das Bundesgericht keine Aufsicht über das Schuldbetreibungs- und Konkurswesen der Kantone wahr (vgl. BGE 135 III 46 E. 4.2).</w:t>
      </w:r>
    </w:p>
    <w:p>
      <w:r>
        <w:rPr>
          <w:b/>
        </w:rPr>
        <w:t>E. 3.4</w:t>
      </w:r>
    </w:p>
    <w:p>
      <w:r>
        <w:t>Gegenstand des vorinstanzlichen Verfahrens bildete ausschliesslich das Schreiben des Betreibungsamtes vom 21. Januar 2020. Nach der Erwägung der Vorinstanz wurden damit dem Beschwerdeführer auf sein Ersuchen (vom 10. Januar 2020 um Akteneinsicht) hin eine Kopie des vom Hauseigentümerverband Zürich verfassten Marktwertgutachtens zugestellt und Erläuterungen zu dem mit Mitteilung vom 9. Mai 2019 festgelegten Schätzwert seiner Liegenschaft gemacht. Die Vorinstanz folgerte mit einlässlicher Begründung (unter Hinweis auf u.a. BGE 142 III 425 E. 3.3), dass ein solches Schreiben keine Verfügung darstelle, welche mit einer Beschwerde nach Art. 17 SchKG angefochten werden kann. Mit der diesbezüglichen Begründung zum Begriff der anfechtbaren Verfügung setzt sich der Beschwerdeführer nicht auseinander, weshalb auf die Beschwerde nicht einzutreten ist.</w:t>
      </w:r>
    </w:p>
    <w:p>
      <w:r>
        <w:rPr>
          <w:b/>
        </w:rPr>
        <w:t>E. 3.5</w:t>
      </w:r>
    </w:p>
    <w:p>
      <w:r>
        <w:t>Am Ergebnis ändert auch der Vorwurf des Beschwerdeführers nichts, dass sich die kantonalen Instanzen nicht mit seiner Kritik an der Schätzung befassen wollen. Selbst wenn man hierin eine Rechtsverweigerungsbeschwerde erblicken könnte, würde sie nicht weiterführen, da die kantonale Aufsichtsbehörde über die Schätzung bereits in einem früheren, rechtskräftig erledigten Verfahren befunden hat.</w:t>
      </w:r>
    </w:p>
    <w:p>
      <w:r>
        <w:rPr>
          <w:b/>
        </w:rPr>
        <w:t>E. 4</w:t>
      </w:r>
    </w:p>
    <w:p>
      <w:r>
        <w:t>Nach dem Gesagten kann auf die Anträge des Beschwerdeführers insgesamt nicht eingetreten werden. Infolge Aussichtslosigkeit des Beschwerdebegehrens ist das Gesuch um unentgeltliche Rechtspflege abzuweisen ( Art. 64 Abs. 1 BGG ). Ausgangsgemäss hat der Beschwerdeführer die Verfahrenskosten zu tragen ( Art. 66 Abs. 1 BGG ). Der nicht anwaltlich vertretenen Beschwerdegegnerin ist kein entschädigungspflichtiger Aufwand entstanden, womit eine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