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5A_48/2026 vom 11. März 2026</w:t>
      </w:r>
    </w:p>
    <w:p>
      <w:r>
        <w:t>Bundesgericht, 2026-03-11, DE</w:t>
      </w:r>
    </w:p>
    <w:p>
      <w:r>
        <w:rPr>
          <w:b/>
        </w:rPr>
        <w:t xml:space="preserve">Quelle: </w:t>
      </w:r>
      <w:r>
        <w:t>https://mcp.opencaselaw.ch/entscheid/bger_5A_48_2026</w:t>
      </w:r>
    </w:p>
    <w:p>
      <w:r>
        <w:t>FR: TF 5A_48/2026 du 11 mars 2026</w:t>
      </w:r>
    </w:p>
    <w:p>
      <w:r>
        <w:t>IT: TF 5A_48/2026 del 11 marzo 2026</w:t>
      </w:r>
    </w:p>
    <w:p>
      <w:pPr>
        <w:pStyle w:val="Heading2"/>
      </w:pPr>
      <w:r>
        <w:t>Erwägungen</w:t>
      </w:r>
    </w:p>
    <w:p>
      <w:r>
        <w:rPr>
          <w:b/>
        </w:rPr>
        <w:t>E. 1</w:t>
      </w:r>
    </w:p>
    <w:p>
      <w:r>
        <w:t>Mit Urteil vom 21. Oktober 2025 eröffnete das Bezirksgericht Horgen über den Beschwerdeführer den Konkurs.</w:t>
      </w:r>
    </w:p>
    <w:p>
      <w:r>
        <w:t>Dagegen erhob der Beschwerdeführer am 30. Oktober 2025 (Poststempel) Beschwerde beim Obergericht des Kantons Zürich. Am 3. November 2025 (Poststempel) ergänzte er die Beschwerde. Mit Verfügung vom 19. November 2025 erteilte das Obergericht der Beschwerde die aufschiebende Wirkung. Mit Urteil vom 12. Januar 2026 wies das Obergericht die Beschwerde ab und eröffnete über den Beschwerdeführer per Urteilsdatum den Konkurs neu.</w:t>
      </w:r>
    </w:p>
    <w:p>
      <w:r>
        <w:t>Gegen dieses Urteil hat der Beschwerdeführer am 16. Januar 2026 Beschwerde in Zivilsachen an das Bundesgericht erhoben. Das Bundesgericht hat die Akten beigezogen. Der Beschwerdeführer hat den verlangten Kostenvorschuss von Fr. 2'000.-- zwar nach Ablauf der Zahlungsfrist, allerdings vor Ansetzung der gesetzlich vorgeschriebenen Nachfrist bezahlt.</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Das Obergericht hat erwogen, dass der Beschwerdeführer den Konkursaufhebungsgrund der Hinterlegung ( Art. 174 Abs. 2 Ziff. 2 SchKG ) belegt habe, hingegen seine Zahlungsfähigkeit nicht hinreichend dargetan habe.</w:t>
      </w:r>
    </w:p>
    <w:p>
      <w:r>
        <w:rPr>
          <w:b/>
        </w:rPr>
        <w:t>E. 4</w:t>
      </w:r>
    </w:p>
    <w:p>
      <w:r>
        <w:t>Der Beschwerdeführer macht geltend, er habe die konkursauslösende Forderung hinterlegt und die Kosten des Konkursverfahrens sichergestellt. Davon ist jedoch auch das Obergericht ausgegangen, womit das Vorbringen ins Leere zielt. Er macht sodann geltend, das Obergericht habe überspannte Anforderungen an die Glaubhaftmachung der Zahlungsfähigkeit gestellt und die Zahlungsfähigkeit trotz vorhandener liquider Mittel willkürlich verneint. Er zeigt weder auf, inwiefern das Obergericht konkret überspannte Anforderungen an die Glaubhaftmachung gestellt haben soll, noch rügt er in genügender Weise, dass es den Sachverhalt willkürlich festgestellt hätte. Schliesslich sieht der Beschwerdeführer in der Konkurseröffnung einen unverhältnismässigen Eingriff in seine wirtschaftliche Existenz. Er legt jedoch nicht dar, dass eine über die Prüfung der Zahlungsfähigkeit hinausgehende Verhältnismässigkeitsprüfung hätte erfolgen müssen.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der Beschwerdeführer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