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5A_48/2024 vom 26. Januar 2024</w:t>
      </w:r>
    </w:p>
    <w:p>
      <w:r>
        <w:t>Bundesgericht, 2024-01-26, FR</w:t>
      </w:r>
    </w:p>
    <w:p>
      <w:r>
        <w:rPr>
          <w:b/>
        </w:rPr>
        <w:t xml:space="preserve">Quelle: </w:t>
      </w:r>
      <w:r>
        <w:t>https://mcp.opencaselaw.ch/entscheid/bger_5A_48_2024</w:t>
      </w:r>
    </w:p>
    <w:p>
      <w:r>
        <w:t>FR: TF 5A_48/2024 du 26 janvier 2024</w:t>
      </w:r>
    </w:p>
    <w:p>
      <w:r>
        <w:t>IT: TF 5A_48/2024 del 26 gennaio 2024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janvier 2024 (art. 44 al. 1 et 45 al. 1 LTF);</w:t>
      </w:r>
    </w:p>
    <w:p>
      <w:r>
        <w:t>que, déposé le</w:t>
      </w:r>
    </w:p>
    <w:p>
      <w:r>
        <w:t>23 janvier 2024 , le recours apparaît dès lors largement tardif, partant irrecevable ( art. 108 al. 1 let. a LTF );</w:t>
      </w:r>
    </w:p>
    <w:p>
      <w:r>
        <w:t>que l'irrecevabilité du recours est imputable à une erreur grossière de l'avocate du recourant, qui, en dépit d'une jurisprudence pléthorique et aisément accessible, n'a pas consacré à l'admissibilité de son écriture l'attention minimale que l'on est en droit d'attendre d'une mandataire professionnelle qui procède devant la juridiction suprême du pays;</w:t>
      </w:r>
    </w:p>
    <w:p>
      <w:r>
        <w:t>que, dans ces circonstances, les frais judiciaires sont mis à la charge de l'avocate elle-même (dans ce sens, récemment: arrêt 5A_667/2023 du 26 septembre 2023 consid. 4);</w:t>
      </w:r>
    </w:p>
    <w:p>
      <w:r>
        <w:t>que le présent arrêt rend sans objet la requête d'effet suspensif;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