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48/2019 vom 27. Januar 2020</w:t>
      </w:r>
    </w:p>
    <w:p>
      <w:r>
        <w:t>Bundesgericht, 2020-01-27, DE</w:t>
      </w:r>
    </w:p>
    <w:p>
      <w:r>
        <w:rPr>
          <w:b/>
        </w:rPr>
        <w:t xml:space="preserve">Quelle: </w:t>
      </w:r>
      <w:r>
        <w:t>https://mcp.opencaselaw.ch/entscheid/bger_5A_48_2019</w:t>
      </w:r>
    </w:p>
    <w:p>
      <w:r>
        <w:t>FR: TF 5A 48/2019 du 27 janvier 2020</w:t>
      </w:r>
    </w:p>
    <w:p>
      <w:r>
        <w:t>IT: TF 5A 48/2019 del 27 gennaio 2020</w:t>
      </w:r>
    </w:p>
    <w:p>
      <w:pPr>
        <w:pStyle w:val="Heading2"/>
      </w:pPr>
      <w:r>
        <w:t>Regeste</w:t>
      </w:r>
    </w:p>
    <w:p>
      <w:r>
        <w:t>Anfechtung eines Aktienkaufvertrags | Schuldbetreibungs- und Konkursrecht</w:t>
      </w:r>
    </w:p>
    <w:p>
      <w:pPr>
        <w:pStyle w:val="Heading2"/>
      </w:pPr>
      <w:r>
        <w:t>Erwägungen</w:t>
      </w:r>
    </w:p>
    <w:p>
      <w:r>
        <w:rPr>
          <w:b/>
        </w:rPr>
        <w:t>E. 1</w:t>
      </w:r>
    </w:p>
    <w:p>
      <w:r>
        <w:t>Gegen den angefochtenen Entscheid ist die Beschwerde in Zivilsachen grundsätzlich zulässig (Art. 72 Abs. 2 lit. a, Art. 74 Abs. 2 lit. c, Art. 75, Art. 76, Art. 90, Art. 100 Abs. 2 lit. a i.V.m. Art. 46 Abs. 1 lit. c i.V.m. Art. 45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w:t>
      </w:r>
    </w:p>
    <w:p>
      <w:r>
        <w:t>Das Dispositiv des angefochtenen Entscheids lautet auf Abweisung des Beschwerde-Weiterzugs, soweit darauf einzutreten sei. Wie aus den Erwägungen hervorgeht, handelt es sich jedoch um einen Nichteintretensentscheid. Das Kantonsgericht hat nämlich zunächst erwogen, dass auf den Beschwerde-Weiterzug nicht einzutreten sei, weil die Beschwerdeführerin ihrer Begründungspflicht nicht nachgekommen sei. Die Beschwerdeführerin habe bloss die bezirksgerichtlichen Erwägungen und ihre vorinstanzlichen Ausführungen wiedergegeben und erneut ihre Sicht der Dinge dargestellt, ohne sich mit den Erwägungen des Bezirksgerichts auseinanderzusetzen. Das Kantonsgericht hat allerdings danach zusätzlich ausgeführt, aus welchen Gründen der Beschwerde-Weiterzug abzuweisen wäre, wenn auf ihn eingetreten werden könnte. Da das Kantonsgericht jedoch zuvor bereits festgehalten hatte, dass auf den Beschwerde-Weiterzug insgesamt - d.h. in allen seinen Teilen - nicht eingetreten werden könne, handelt es sich bei diesen materiellen Ausführungen um blosse Eventualerwägungen, die sich grundsätzlich im Dispositiv nicht niederschlagen. Insoweit ist das Dispositiv des angefochtenen Entscheids missverständlich formuliert.</w:t>
      </w:r>
    </w:p>
    <w:p>
      <w:r>
        <w:rPr>
          <w:b/>
        </w:rPr>
        <w:t>E. 3</w:t>
      </w:r>
    </w:p>
    <w:p>
      <w:r>
        <w:t>Die Beschwerdeführerin macht eine Verletzung des rechtlichen Gehörs ( Art. 29 Abs. 2 BV ) geltend, da das Kantonsgericht ihr vorgeworfen habe, den Beschwerde-Weiterzug nicht hinreichend begründet zu haben. Das Kantonsgericht habe die Begründung der Beschwerdeführerin ignoriert und sich mit der Begründung nicht auseinandergesetzt.</w:t>
      </w:r>
    </w:p>
    <w:p>
      <w:r>
        <w:rPr>
          <w:b/>
        </w:rPr>
        <w:t>E. 3.1</w:t>
      </w:r>
    </w:p>
    <w:p>
      <w:r>
        <w:t>Der Anspruch auf rechtliches Gehör ( Art. 29 Abs. 2 BV ) verlangt, dass die Behörde die rechtserheblichen Vorbringen der Parteien tatsächlich hört, ernsthaft prüft und bei der Entscheidfindung angemessen berücksichtigt ( BGE 136 I 184 E. 2.2.1 S. 188; 135 III 670 E. 3.3.1 S. 677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w:t>
      </w:r>
    </w:p>
    <w:p>
      <w:r>
        <w:rPr>
          <w:b/>
        </w:rPr>
        <w:t>E. 3.2</w:t>
      </w:r>
    </w:p>
    <w:p>
      <w:r>
        <w:t>Das Kantonsgericht hat den Beschwerde-Weiterzug - wie gesagt - als ungenügend begründet erachtet (vgl. oben E. 2). Eine solche Schlussfolgerung hat zwangsläufig zur Folge, dass auf die ungenügenden Ausführungen im Rechtsmittel nicht im Einzelnen eingegangen zu werden braucht. Darin liegt keine Verletzung des rechtlichen Gehörs. Das Kantonsgericht hat auch dargelegt, weshalb es zu diesem Schluss gekommen ist. Der Beschwerdeführerin war folglich ohne weiteres ersichtlich, weshalb das Kantonsgericht auf den Beschwerde-Weiterzug nicht eingetreten ist, und sie konnte den Entscheid des Kantonsgerichts in voller Kenntnis dieses Umstands beim Bundesgericht anfechten. Im Übrigen hat das Kantonsgericht in einer Eventualerwägung die Angelegenheit materiell beurteilt. Insoweit ist erst recht nicht ersichtlich, weshalb es die Ausführungen der Beschwerdeführerin - auch wenn es sich um blosse Wiederholungen des erstinstanzlich Gesagten handelt bzw. handeln sollte - nicht berücksichtigt hätte.</w:t>
      </w:r>
    </w:p>
    <w:p>
      <w:r>
        <w:rPr>
          <w:b/>
        </w:rPr>
        <w:t>E. 3.3</w:t>
      </w:r>
    </w:p>
    <w:p>
      <w:r>
        <w:t>Eine andere Frage ist, ob das Kantonsgericht zu Recht zum Schluss gekommen ist, dass der Beschwerde-Weiterzug ungenügend begründet sei. In dieser Hinsicht macht die Beschwerdeführerin geltend, sie habe alle relevanten Erwägungen des Bezirksgerichts behandelt und erläutert, weshalb diese nicht zutreffend seien. Sie habe konkret aufgezeigt, inwiefern das Bezirksgericht den Sachverhalt unzutreffend festgestellt habe. Sie habe auch aufgezeigt, dass die Erwägungen des Bezirksgerichts Bundesrecht verletzt hätten. Sie verweist dabei auf einzelne Randziffern ihres Beschwerde-Weiterzugs und auf eine einzelne Erwägung des bezirksgerichtlichen Entscheids. Dies genügt jedoch den Begründungs- bzw. Rügeanforderungen (soweit es um Tatsachenfeststellungen des Kantonsgerichts über den Inhalt des Beschwerde-Weiterzugs geht) nicht. Die Beschwerdeführerin zeigt nicht detailliert auf, inwiefern sie konkret auf die einzelnen massgeblichen Erwägungen des bezirksgerichtlichen Entscheids eingegangen ist und inwiefern die kantonsgerichtliche Beurteilung unzutreffend (bzw. willkürlich) sein soll, dass sie bloss vor Bezirksgericht bereits Ausgeführtes wiederholt habe. Ihre Ausführungen in der Beschwerde an das Bundesgericht erschöpfen sich in der Behauptung, sie habe den Beschwerde-Weiterzug genügend begründet.</w:t>
      </w:r>
    </w:p>
    <w:p>
      <w:r>
        <w:rPr>
          <w:b/>
        </w:rPr>
        <w:t>E. 3.4</w:t>
      </w:r>
    </w:p>
    <w:p>
      <w:r>
        <w:t>Soweit es um das Nichteintreten des Kantonsgerichts auf den Beschwerde-Weiterzug geht, ist die Beschwerde demnach abzuweisen, soweit auf sie eingetreten werden kann.</w:t>
      </w:r>
    </w:p>
    <w:p>
      <w:r>
        <w:rPr>
          <w:b/>
        </w:rPr>
        <w:t>E. 4</w:t>
      </w:r>
    </w:p>
    <w:p>
      <w:r>
        <w:t>Da die kantonsgerichtlichen Erwägungen zum Nichteintreten das kantonsgerichtliche Urteil alleine zu tragen vermögen und einzig das Dispositiv missverständlich formuliert ist, erübrigt es sich grundsätzlich, auf die Eventualerwägung des Kantonsgerichts und die entsprechenden Ausführungen der Beschwerdeführerin einzugehen. Der Vollständigkeit halber ist jedoch Folgendes anzufügen: Das Kantonsgericht hat erwogen, dass die Nachlassrichterin dem Verkauf der 6'725 Aktien aus dem Anlagevermögen der B.________ AG zugestimmt habe. Dieser Entscheid sei unangefochten geblieben. Folglich könne dieses Rechtsgeschäft nicht mehr angefochten werden (Art. 285Abs. 3 SchKG). Dies gelte nach den Materialien (unter Hinweis auf die Botschaft vom 8. September 2010 zur Änderung des Bundesgesetzes über Schuldbetreibung und Konkurs [Sanierungsrecht], BBl 2010 6476 Ziff. 2.6 und 6489 Ziff. 2.9) auch für eine Anfechtung infolge Irrtums oder Täuschung nach Art. 31 OR . Auf diese letztgenannte Erwägung geht die Beschwerdeführerin gar nicht ein. Sie führt nur aus, Art. 285 Abs. 3 SchKG regle die Frage nicht, ob eine vom Nachlassgericht genehmigte Handlung wegen Willensmängeln angefochten werden dürfe, und es liege auf der Hand, dass mit Willensmängeln behaftete Handlungen weiterhin anfechtbar seien. Weshalb Letzteres auf der Hand liegen soll und inwiefern das Kantonsgericht die Materialien falsch verstanden haben soll, legt die Beschwerdeführerin nicht dar. Auch insoweit genügt sie den Begründungsanforderungen nicht. Infolgedessen könnte der Beschwerde selbst dann kein Erfolg beschieden sein, wenn vor Bundesgericht auf die Eventualerwägung des Kantonsgerichts einzugehen wäre.</w:t>
      </w:r>
    </w:p>
    <w:p>
      <w:r>
        <w:rPr>
          <w:b/>
        </w:rPr>
        <w:t>E. 5</w:t>
      </w:r>
    </w:p>
    <w:p>
      <w:r>
        <w:t>Bei diesem Ausgang des Verfahrens trägt die Beschwerdeführerin die Gerichtskosten ( Art. 66 Abs. 1 BGG ). Sie hat die Konkursmasse der B.________ AG in Liquidation angemessen zu entschädigen ( Art. 68 Abs. 1 BGG ). Eine Entschädigung für das Konkursamt fällt hingegen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