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5A_48/2010 vom 31. März 2010</w:t>
      </w:r>
    </w:p>
    <w:p>
      <w:r>
        <w:t>Bundesgericht, 2010-03-31, DE</w:t>
      </w:r>
    </w:p>
    <w:p>
      <w:r>
        <w:rPr>
          <w:b/>
        </w:rPr>
        <w:t xml:space="preserve">Quelle: </w:t>
      </w:r>
      <w:r>
        <w:t>https://mcp.opencaselaw.ch/entscheid/bger_5A_48_2010</w:t>
      </w:r>
    </w:p>
    <w:p>
      <w:r>
        <w:t>FR: TF 5A_48/2010 du 31 mars 2010</w:t>
      </w:r>
    </w:p>
    <w:p>
      <w:r>
        <w:t>IT: TF 5A_48/2010 del 31 marzo 2010</w:t>
      </w:r>
    </w:p>
    <w:p>
      <w:pPr>
        <w:pStyle w:val="Heading2"/>
      </w:pPr>
      <w:r>
        <w:t>Erwägungen</w:t>
      </w:r>
    </w:p>
    <w:p>
      <w:r>
        <w:rPr>
          <w:b/>
        </w:rPr>
        <w:t>E. 1.1</w:t>
      </w:r>
    </w:p>
    <w:p>
      <w:r>
        <w:t>Angefochten sind Fr. 30'000.-- übersteigende güterrechtliche Folgen eines kantonal letztinstanzlichen Ehescheidungsurteils; die Voraussetzungen nach Art. 72 Abs. 1, Art. 74 Abs. 1 lit. b und Art. 75 Abs. 1 BGG sind gegeben.</w:t>
      </w:r>
    </w:p>
    <w:p>
      <w:r>
        <w:rPr>
          <w:b/>
        </w:rPr>
        <w:t>E. 1.2</w:t>
      </w:r>
    </w:p>
    <w:p>
      <w:r>
        <w:t>Der Beschwerdeführer wendet sich nicht gegen die Zuweisung der Liegenschaft an die Beschwerdegegnerin zu alleinigem Eigentum. Auch anerkennt er die Höhe der von der Vorinstanz auf Fr. 112'696.20 festgelegten Entschädigung. Er macht jedoch geltend, die Zuweisung der Liegenschaft und die Bezahlung der Entschädigung müssten gleichzeitig erfolgen.</w:t>
      </w:r>
    </w:p>
    <w:p>
      <w:r>
        <w:rPr>
          <w:b/>
        </w:rPr>
        <w:t>E. 1.3.1</w:t>
      </w:r>
    </w:p>
    <w:p>
      <w:r>
        <w:t>Im Ehescheidungsverfahren gilt der Grundsatz der Einheit des Scheidungsurteils ( BGE 134 III 426 E. 1.2 S. 429; 130 III 537 E. 5.2 S. 546 f., mit Hinweisen). Nach diesem Grundsatz hat der Richter, welcher eine Ehescheidung ausspricht, im betreffenden Urteil gleich auch über die sich daraus ergebenden Nebenfolgen zu befinden ( BGE 134 III 426 E. 1.2 S. 429; 113 II 97 E. 2 S. 98 f.). Hingegen kann die güterrechtliche Auseinandersetzung ausnahmsweise in ein separates Verfahren verwiesen werden, sofern die Regelung der übrigen Nebenfolgen nicht von deren Ergebnis abhängig ist.</w:t>
      </w:r>
    </w:p>
    <w:p>
      <w:r>
        <w:t>Der Grundsatz der Einheit des Scheidungsurteils verbietet einer Rechtsmittelinstanz indes nicht, lediglich über einen Teil der strittigen Fragen zu befinden und im Übrigen die Sache zu neuer Beurteilung an die Vorinstanz zurückzuweisen, da das Verfahren erst abgeschlossen ist, wenn sämtliche Nebenfolgen der Scheidung geregelt sind ( BGE 134 III 426 E. 1.2 S. 429; Urteile 5A_27/2008 vom 20. Mai 2008 E. 2; 5C.47/2005 vom 8. April 2005 E. 2.2.1.2).</w:t>
      </w:r>
    </w:p>
    <w:p>
      <w:r>
        <w:rPr>
          <w:b/>
        </w:rPr>
        <w:t>E. 1.3.2</w:t>
      </w:r>
    </w:p>
    <w:p>
      <w:r>
        <w:t>Der angefochtene Entscheid bezieht sich ausschliesslich auf die güterrechtliche Auseinandersetzung sowie die Frage der Entschädigung nach Art. 124 ZGB . Im Urteilsdispositiv wird zudem nur ein Aspekt des Güterrechts, die Zuweisung der Liegenschaft, geregelt. Die damit in engem Zusammenhang stehende Entschädigung von Fr. 112'696.20 wird lediglich in den obergerichtlichen Erwägungen genannt und bildet Gegenstand der Rückweisung an die erste Instanz. Daher ist der obergerichtliche Entscheid nicht in sich geschlossen und bildet - entgegen der Auffassung des Beschwerdeführers - keinen anfechtbaren Teilentscheid i.S.v. Art. 91 BGG . Vielmehr handelt es sich um einen Zwischenentscheid i.S.v. Art. 93 BGG .</w:t>
      </w:r>
    </w:p>
    <w:p>
      <w:r>
        <w:rPr>
          <w:b/>
        </w:rPr>
        <w:t>E. 1.4.1</w:t>
      </w:r>
    </w:p>
    <w:p>
      <w:r>
        <w:t>Gegen selbständig eröffnete Vor- und Zwischenentscheide, welche nicht die Zuständigkeit oder den Ausstand betreffen, ist die Beschwerde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Dabei obliegt es dem Beschwerdeführer, darzutun, dass die Eintretensvoraussetzungen von Art. 93 BGG erfüllt sind, soweit deren Vorliegen nicht offensichtlich in die Augen springt ( BGE 134 III 426 E. 1.2 in fine S. 429; 133 III 629 E. 2.3.1 S. 632, E. 2.4.2 S. 633).</w:t>
      </w:r>
    </w:p>
    <w:p>
      <w:r>
        <w:rPr>
          <w:b/>
        </w:rPr>
        <w:t>E. 1.4.2</w:t>
      </w:r>
    </w:p>
    <w:p>
      <w:r>
        <w:t>Ob die Voraussetzungen gemäss Art. 93 Abs. 1 BGG erfüllt sind, kann vorliegend jedoch offen bleiben: Wie bereits dargelegt, anerkennt der Beschwerdeführer die Zuweisung der Liegenschaft an die Beschwerdegegnerin zu alleinigem Eigentum sowie die Höhe der Entschädigung von Fr. 112'696.20 und verlangt lediglich eine Zug-um-Zug-Abwicklung dieser beiden Leistungen (s. oben, E. 1.2). Da der vorliegend angefochtene Entscheid erst mit dem Endentscheid in Rechtskraft erwächst und vorerst nicht vollstreckt werden kann, sondern in die güterrechtliche Auseinandersetzung einfliessen wird, hat der Beschwerdeführer an der Änderung oder Aufhebung des Entscheids kein aktuelles und praktisches Interesse und ist damit gemäss Art. 76 Abs. 1 lit. b BGG zur Beschwerde in Zivilsachen nicht berechtigt (zu diesem Erfordernis vgl. Urteile 4A_331/2008 vom 15. September 2008 E. 2.1.1; 5A_229/2007 vom 31. August 2007 E. 2).</w:t>
      </w:r>
    </w:p>
    <w:p>
      <w:r>
        <w:rPr>
          <w:b/>
        </w:rPr>
        <w:t>E. 2</w:t>
      </w:r>
    </w:p>
    <w:p>
      <w:r>
        <w:t>Auf die Beschwerde ist daher nicht einzutreten. Wie die vorstehenden Erwägungen zeigen, muss sie als von Anfang an aussichtslos bezeichnet werden, weshalb es an den materiellen Voraussetzungen für die unentgeltliche Rechtspflege fehlt ( Art. 64 Abs. 1 BGG ). Folglich ist das betreffende Gesuch abzuweisen, und die Gerichtskosten sind entsprechend dem Verfahrensausgang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