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5A_488/2016 vom 4. April 2017</w:t>
      </w:r>
    </w:p>
    <w:p>
      <w:r>
        <w:t>Bundesgericht, 2017-04-04, IT</w:t>
      </w:r>
    </w:p>
    <w:p>
      <w:r>
        <w:rPr>
          <w:b/>
        </w:rPr>
        <w:t xml:space="preserve">Quelle: </w:t>
      </w:r>
      <w:r>
        <w:t>https://mcp.opencaselaw.ch/entscheid/bger_5A_488_2016</w:t>
      </w:r>
    </w:p>
    <w:p>
      <w:r>
        <w:t>FR: TF 5A_488/2016 du 4 avril 2017</w:t>
      </w:r>
    </w:p>
    <w:p>
      <w:r>
        <w:t>IT: TF 5A_488/2016 del 4 aprile 2017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Il presente ricorso è rivolto contro una sentenza finale pronunciata su ricorso dall'istanza suprema cantonale in tema di divorzio ( art. 90, 72 e 75 LTF ). Il ricorrente, parzialmente soccombente avanti all'autorità cantonale, è legittimato a ricorrere ( art. 76 cpv. 1 LTF ). Avanti al Tribunale federale è contestato unicamente l'ammontare dell'obbligo contributivo a carico del ricorrente e a favore del figlio C.________, il cui valore oltrepassa la soglia di legge ( art. 74 cpv. 1 lett. b LTF ); peraltro, in sede cantonale erano ancora controversi aspetti non patrimoniali del divorzio ( art. 51 cpv. 1 lett. a LTF ). Il ricorso, interposto nelle forme ( art. 42 cpv. 1 LTF ) e nei termini di legge ( art. 100 cpv. 1 LTF ), è dunque ammissibile nella prospettiva delle condizioni esposte.</w:t>
      </w:r>
    </w:p>
    <w:p>
      <w:r>
        <w:rPr>
          <w:b/>
        </w:rPr>
        <w:t>E. 1.2</w:t>
      </w:r>
    </w:p>
    <w:p>
      <w:r>
        <w:t>Il Tribunale federale applica il diritto d'ufficio ( art. 106 cpv. 1 LTF ). Nondimeno, tenuto conto dell'onere di allegazione e motivazione posto dall' art. 42 cpv. 1 e 2 LTF , la cui mancata ottemperanza conduce all'inammissibilità del gravame, il Tribunale federale esamina di regola solo le censure sollevate ( DTF 140 III 86 consid. 2; 137 III 580 consid. 1.3; 134 III 102 consid. 1.1). Il ricorrente deve pertanto spiegare nei motivi del ricorso, in modo conciso e confrontandosi con i considerandi della sentenza impugnata, perché l'atto impugnato viola il diritto ( DTF 134 II 244 consid. 2.1). Per le violazioni di diritti fondamentali e di disposizioni di diritto cantonale e intercantonale le esigenze di motivazione sono più severe; il ricorrente deve indicare in modo chiaro e dettagliato i diritti che sono stati violati e spiegare in cosa consista la violazione ( art. 106 cpv. 2 LTF ; DTF 134 II 244 consid. 2.2).</w:t>
      </w:r>
    </w:p>
    <w:p>
      <w:r>
        <w:t>Il Tribunale federale fonda il suo ragionamento giuridico sull'accertamento dei fatti svolto dall'autorità inferiore ( art. 105 cpv. 1 LTF ); può scostarsene o completarlo solo se è stato svolto in violazione del diritto ai sensi dell' art. 95 LTF o in modo manifestamente inesatto ( art. 105 cpv. 2 LTF ). L'accertamento dei fatti contenuto nella sentenza impugnata può essere censurato alle stesse condizioni; occorre inoltre che l'eliminazione dell'asserito vizio possa influire in maniera determinante sull'esito della causa ( art. 97 cpv. 1 LTF ). Se rimprovera all'autorità inferiore un accertamento dei fatti manifestamente inesatto - ossia arbitrario ( DTF 140 III 115 consid. 2) - il ricorrente deve sollevare la censura e motivarla in modo preciso, come esige l' art. 106 cpv. 2 LTF .</w:t>
      </w:r>
    </w:p>
    <w:p>
      <w:r>
        <w:rPr>
          <w:b/>
        </w:rPr>
        <w:t>E. 1.3</w:t>
      </w:r>
    </w:p>
    <w:p>
      <w:r>
        <w:t>Dinanzi al Tribunale federale non possono essere addotti nuovi fatti o nuovi mezzi di prova, a meno che ne dia motivo la decisione impugnata ( art. 99 cpv. 1 LTF ). Fatti successivi alla decisione impugnata - cosiddetti</w:t>
      </w:r>
    </w:p>
    <w:p>
      <w:r>
        <w:t>nova in senso proprio - non possono, salvo eccezioni qui inconferenti, comunque essere presi in considerazione (fra i molti v. Münch/Luczak, in Prozessieren vor Bundesgericht, 4aed. 2014, n. 2.80). Il mezzo di prova prodotto dal ricorrente in data 6 febbraio 2017, ovvero un verbale pretorile datato 28 settembre 2016 in un procedimento di cui il ricorrente non precisa la natura, è pertanto inammissibile.</w:t>
      </w:r>
    </w:p>
    <w:p>
      <w:r>
        <w:rPr>
          <w:b/>
        </w:rPr>
        <w:t>E. 2.1</w:t>
      </w:r>
    </w:p>
    <w:p>
      <w:r>
        <w:t>Controversa è, come detto, l'entità dell'obbligo contributivo del ricorrente in favore del figlio C.________. Egli non ne discute i presupposti giuridici né le condizioni ( art. 285 cpv. 1 CC [nel suo tenore in vigore fino al 31 dicembre 2016, v. art. 13cbis cpv. 2 Tit. fin. CC ]; in proposito DTF 135 III 66 consid. 4). Lamenta, per contro, un arbitrario apprezzamento delle prove da parte del Tribunale di appello, reo - a suo dire - di aver tenuto conto della accresciuta retribuzione dell'opponente soltanto nell'ambito dell'attribuzione dell'abitazione famigliare, ma non nella determinazione del contributo alimentare a suo carico. Egli " ritiene equa la partecipazione del padre nella misura proposta dal Pretore dal 1° gennaio 2015 fino al 31 dicembre 2016 e di fr. 1'065.-- dal 1° gennaio 2017 fino alla maggiore età o fino al termine di un'eventuale formazione scolastica o professionale [...] ".</w:t>
      </w:r>
    </w:p>
    <w:p>
      <w:r>
        <w:rPr>
          <w:b/>
        </w:rPr>
        <w:t>E. 2.2</w:t>
      </w:r>
    </w:p>
    <w:p>
      <w:r>
        <w:t>Il mantenimento di un figlio consiste nella cura e nell'educazione ovvero, se il figlio non è sotto la custodia dei genitori, in prestazioni pecuniarie ( art. 276 cpv. 2 CC [nel suo tenore in vigore fino al 31 dicembre 2016, v. art. 13cbis cpv. 2 Tit. fin. CC ]). Su questa disposizione di legge si fonda la giurisprudenza per cui il genitore al quale è affidato il figlio apporta il proprio contributo al mantenimento del figlio per principio in natura (sentenza 5A_1017/2014 del 12 maggio 2015 consid. 4.4 con rinvii, in FamPra.ch 2015 pag. 680). Certo i modelli di custodia sono evoluti; l'autorità parentale congiunta, introdotta dal legislatore in tempi recenti, non è probabilmente estranea al crescente apprezzamento di cui gode, ad esempio, la custodia suddivisa (o alternata), modello che sta conoscendo una rapida divulgazione. Queste nuove forme di mantenimento impongono al giudice - che deve tener conto di tutti i fattori prima di decidere equamente quali obblighi mettere a carico di quale genitore (sentenza 5A_1017/2014 cit. consid. 4.1 con rinvii) - di prendere in considerazione l'ipotesi che uno o entrambi i genitori, oltre ad accudire parzialmente il proprio figlio, possa dover contribuire al suo mantenimento anche con prestazioni pecuniarie (v. sentenza 5A_1017/2014 cit. consid. 4.4).</w:t>
      </w:r>
    </w:p>
    <w:p>
      <w:r>
        <w:rPr>
          <w:b/>
        </w:rPr>
        <w:t>E. 2.3</w:t>
      </w:r>
    </w:p>
    <w:p>
      <w:r>
        <w:t>Il ricorrente non discute del tutto la tematica, limitandosi all'affermazione di principio riportata</w:t>
      </w:r>
    </w:p>
    <w:p>
      <w:r>
        <w:t>supra (consid. 2.1). Ora, va prima di tutto precisato che la censura che egli solleva non ha invero nulla a che vedere con l'accertamento dei fatti, bensì attiene alla corretta applicazione dell' art. 276 cpv. 2 CC . In tale contesto, egli avrebbe dovuto ( art. 42 cpv. 2 LTF ) spiegare per quale ragione, a suo dire, l'opponente dovrebbe essere chiamata a contribuire al mantenimento del figlio pure finanziariamente, riducendo in parte l'obbligo contributivo pecuniario a proprio carico, anche nel caso - come in concreto - di un affidamento esclusivo. Sulla scorta della giurisprudenza suesposta (</w:t>
      </w:r>
    </w:p>
    <w:p>
      <w:r>
        <w:t>supra consid. 2.2), il mero fatto che l'opponente si sia costruita negli anni un buon livello retributivo, più elevato di quello del ricorrente, non appare motivo di per sé sufficiente. E il ricorrente non adduce altri motivi.</w:t>
      </w:r>
    </w:p>
    <w:p>
      <w:r>
        <w:t>Al limite dell'ammissibilità per via della più che carente motivazione, la censura è manifestamente infondata.</w:t>
      </w:r>
    </w:p>
    <w:p>
      <w:r>
        <w:rPr>
          <w:b/>
        </w:rPr>
        <w:t>E. 3</w:t>
      </w:r>
    </w:p>
    <w:p>
      <w:r>
        <w:t>Il ricorso va dunque respinto nella misura della sua ammissibilità, con conseguenza di tassa e spese a carico del ricorrente soccombente ( art. 66 cpv. 1 LTF ). Non sono dovute ripetibili all'opponente, che non è stata invitata a determinarsi avanti all'autorità federale e non è pertanto incorsa in spese ( art. 68 cpv.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