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487/2021 vom 31. Januar 2022</w:t>
      </w:r>
    </w:p>
    <w:p>
      <w:r>
        <w:t>Bundesgericht, 2022-01-31, FR</w:t>
      </w:r>
    </w:p>
    <w:p>
      <w:r>
        <w:rPr>
          <w:b/>
        </w:rPr>
        <w:t xml:space="preserve">Quelle: </w:t>
      </w:r>
      <w:r>
        <w:t>https://mcp.opencaselaw.ch/entscheid/bger_5A_487_2021</w:t>
      </w:r>
    </w:p>
    <w:p>
      <w:r>
        <w:t>FR: TF 5A 487/2021 du 31 janvier 2022</w:t>
      </w:r>
    </w:p>
    <w:p>
      <w:r>
        <w:t>IT: TF 5A 487/2021 del 31 gennaio 2022</w:t>
      </w:r>
    </w:p>
    <w:p>
      <w:pPr>
        <w:pStyle w:val="Heading2"/>
      </w:pPr>
      <w:r>
        <w:t>Regeste</w:t>
      </w:r>
    </w:p>
    <w:p>
      <w:r>
        <w:t>revendication, délai de l'action en constatation de droit (plainte 17 LP) | Droit des poursuites et faillites</w:t>
      </w:r>
    </w:p>
    <w:p>
      <w:pPr>
        <w:pStyle w:val="Heading2"/>
      </w:pPr>
      <w:r>
        <w:t>Erwägungen</w:t>
      </w:r>
    </w:p>
    <w:p>
      <w:r>
        <w:rPr>
          <w:b/>
        </w:rPr>
        <w:t>E. 1</w:t>
      </w:r>
    </w:p>
    <w:p>
      <w:r>
        <w:t>Déposé en temps utile ( art. 100 al. 2 let. a LTF ) contre une décision finale ( art. 90 LTF ; ATF 133 III 350 consid. 1.2) rendue par une autorité de surveillance en matière de poursuite pour dettes statuant en dernière (unique) instance cantonale ( art. 75 al. 1 LTF ), le recours en matière civile est recevable, indépendamment de la valeur litigieuse ( art. 74 al. 2 let . c LTF). Le recourant a en outre qualité pour critiquer la répartition du rôle des parties au procès ( art. 76 al. 1 LTF ; arrêt 5A_638/2008 du 5 décembre 2008 consid. 1).</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III 93 consid. 5.2.2), doit, sous peine d'irrecevabilité, satisfaire au principe d'allégation ( art. 106 al. 2 LTF ; ATF 147 I 73 consid. 2.2; 146 IV 88 consid. 1.3.1).</w:t>
      </w:r>
    </w:p>
    <w:p>
      <w:r>
        <w:rPr>
          <w:b/>
        </w:rPr>
        <w:t>E. 3</w:t>
      </w:r>
    </w:p>
    <w:p>
      <w:r>
        <w:t>L'autorité de surveillance a constaté que les tableaux revendiqués par le recourant étaient physiquement en possession d'un quart détenteur, soit une société d'entreposage. Se fondant sur l'arrêt 5A_342/2020, elle a jugé que le principe général de l'interdiction de l'abus de droit, dont découlait le principe de la transparence, était valable pour l'ensemble de l'ordre juridique et qu'il résultait de l'arrêt de la cour de justice du 28 avril 2020 qu'il avait été retenu, sous l'angle de la vraisemblance, que la débitrice séquestrée était toujours la propriétaire des tableaux revendiqués par sa fille. En effet, les contrats passés avec cette dernière étaient vraisemblablement simulés dans le but de soustraire ces oeuvres aux créanciers et dans l'intention d'induire les tiers en erreur. Ainsi, sur cette base, l'office pouvait considérer que le quart détenteur détenait vraisemblablement les tableaux pour le compte de la débitrice séquestrée exclusivement, et non pour celui du plaignant. En conséquence, c'était à juste titre que l'office avait fixé à ce dernier le délai pour ouvrir action.</w:t>
      </w:r>
    </w:p>
    <w:p>
      <w:r>
        <w:rPr>
          <w:b/>
        </w:rPr>
        <w:t>E. 4</w:t>
      </w:r>
    </w:p>
    <w:p>
      <w:r>
        <w:t>Le recourant invoque une violation des règles sur la répartition des rôles entre les parties au procès de tierce opposition ( art. 106 ss LP ) en tant que l'autorité de surveillance s'est fondée sur la décision sur opposition au séquestre pour trancher sa plainte. Il se plaint aussi de la violation de l' art. 9 Cst. dans l'établissement des faits. Ce grief n'a toutefois pas de portée propre par rapport au premier.</w:t>
      </w:r>
    </w:p>
    <w:p>
      <w:r>
        <w:rPr>
          <w:b/>
        </w:rPr>
        <w:t>E. 4.1</w:t>
      </w:r>
    </w:p>
    <w:p>
      <w:r>
        <w:t>Conformément à l' art. 272 al. 1 ch. 3 LP , le créancier doit rendre vraisemblable qu'il existe des biens appartenant au débiteur. La question de la titularité du bien séquestré peut être débattue dans le cadre de l'opposition au séquestre ( art. 278 LP ), mais la décision définitive à ce sujet relève exclusivement de la procédure de revendication prévue par les art. 106 ss LP (arrêts 5A_1042/2020 du 19 mars 2021 consid. 4; 5A_925/2012 du 5 avril 2013 consid. 9.3, publié in SJ 2013 I p. 463).</w:t>
      </w:r>
    </w:p>
    <w:p>
      <w:r>
        <w:rPr>
          <w:b/>
        </w:rPr>
        <w:t>E. 4.2</w:t>
      </w:r>
    </w:p>
    <w:p>
      <w:r>
        <w:t>En vertu des art. 106 ss LP , qui s'appliquent aux cas de séquestre ( art. 275 LP ), lorsqu'un tiers revendique un droit de propriété ou de gage sur l'objet saisi ou séquestré, et que sa revendication est contestée par le créancier ou le débiteur, l'office des poursuites doit impartir au tiers ou au créancier un délai de dix jours pour intenter action. Si le bien en question se trouve en la possession du débiteur, le délai pour agir doit être imparti au tiers ( art. 106 et 107 al. 1 LP ); s'il est en la possession du tiers revendiquant, le délai doit être imparti au créancier ( art. 108 LP ). Si le bien ne se trouve en la possession ni du débiteur ni du tiers revendiquant, mais en celle d'une quatrième personne - le quart détenteur -, le rôle des parties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 ATF 123 III 367 consid. 3b; 121 III 85 consid. 2a; 120 III 83 consid. 3b).</w:t>
      </w:r>
    </w:p>
    <w:p>
      <w:r>
        <w:rPr>
          <w:b/>
        </w:rPr>
        <w:t>E. 4.3.1</w:t>
      </w:r>
    </w:p>
    <w:p>
      <w:r>
        <w:t>Dans l'application des art. 106 ss LP , l'office n'a pas à vérifier le bien-fondé de la revendication; il doit uniquement trancher la question du meilleur droit apparent, soit de savoir qui peut disposer matériellement de la chose, sans avoir à se demander si l'état de fait est ou non conforme au droit ( ATF 144 III 198 consid. 5.1.2.2; 123 III 367 consid. 3b; 120 III 83 consid. 3b; arrêts 5A_697/2008 du 6 mai 2009 consid. 2.2; 5A_638/2008 du 5 décembre 2008 consid. 5.2). Il ne peut prendre en considération des éléments de droit que s'il peut en tirer des déductions sur la maîtrise effective. Il ne peut toutefois pas se livrer à un examen étendu de questions de droit. Au contraire, lorsqu'il examine la question de la possession, il ne doit prendre en considération que les rapports de droit qui sont incontestés ou qui peuvent être établi de manière fiable ( ATF 87 III 11 consid. 1). En effet, la possession au sens des art. 106 ss LP est - si elle se réfère à des choses mobilières - une pure question de fait fondée sur des circonstances externes, et non influencée par des motifs de droit (arrêt 5P.284/1993 du 15 octobre 1993 consid. 2 et 4, publié in Rep 1994 p. 258). La possession dont font mention ces articles ne correspond pas à la possession au sens de l' art. 919 CC (arrêt 5C.96/1996 du 18 juillet 1996 consid. 3a). Dans le cadre de la LP, il s'agit de la simple détention de fait, autrement dit, du pouvoir de fait exclusif d'user de la chose, de sorte que l'office n'est pas lié par les présomptions légales tirées de la possession au sens des art. 919 ss CC (arrêt 7B.105/2006 du 13 octobre 2006 consid. 3.2). Cette réglementation vise à simplifier le travail de l'office pour fixer le délai pour agir. L'office n'a qu'à établir dans la maîtrise de qui une chose mobilière se trouve et déduire sur cette base qui exerce effectivement la possession; il n'a à se poser aucune question sur la propriété ou sur un éventuel droit de gage, ni même si la possession est justifiée (arrêt B.135/1988 du 29 septembre 1988 consid. 1). Pour déterminer la possession du bien revendiqué, l'office doit s'en tenir aux déclarations du débiteur, du tiers revendiquant ( ATF 144 III 198 consid. 5.1.2.2; 123 III 367 consid. 3b; 120 III 83 consid. 3b) et du quart détenteur sur le point de savoir pour le compte de qui celui-ci détient la chose, sans examiner le bien-fondé des affirmations et sans se faire juge de la prétention alléguée (arrêts 5A_697/2008 du 6 mai 2009 consid. 3.2; B.84/1983 du 8 novembre 1983 consid. 3b, non publié aux ATF 109 III 56 ). A cela s'ajoute que, pour prendre sa décision, l'office doit se fonder sur les circonstances existant au moment de l'exécution du séquestre ( art. 275 LP ), même si la revendication est annoncée par la suite, de sorte que l'arrêt sur opposition au séquestre n'entre de facto pas en discussion pour décider du rôle des parties (arrêt 5A_697/2008 précité).</w:t>
      </w:r>
    </w:p>
    <w:p>
      <w:r>
        <w:rPr>
          <w:b/>
        </w:rPr>
        <w:t>E. 4.3.2</w:t>
      </w:r>
    </w:p>
    <w:p>
      <w:r>
        <w:t>Lorsque le juge du séquestre applique le principe de la transparence pour déterminer si des biens peuvent être séquestrés, il tranche une question de droit, soit celle de l' art. 2 CC . Certes, il s'agit d'un principe général qui s'applique à l'ordre juridique dans son ensemble. Néanmoins, la question de la détention, purement factuelle, échappe à de telles considérations juridiques. Cette notion ne fait aucune distinction entre le possesseur de bonne foi ou de mauvaise foi; d'ailleurs, ce n'est pas la possession que le Durchgriff sanctionne mais bien la volonté abusive de soustraire une valeur à la mainmise des créanciers. Il suit de là que l'office n'a nullement à se fonder sur les considérants sur le principe de la transparence retenus par le juge dans sa décision sur opposition au séquestre, ce d'autant que celle-ci est rendue après le moment déterminant pour déterminer la détention, soit l'exécution du séquestre (arrêt 5A_697/2008 précité). Dans un arrêt isolé 5A_342/2020 du 4 mars 2021, le Tribunal fédéral a jugé que l'office pouvait se fonder sur la décision sur opposition au séquestre, dans laquelle le juge se prononce sommairement sur l'appartenance des biens séquestrés en application du principe de la transparence. Il s'agit manifestement d'une interprétation trop large des arrêts rendus précédemment dans le domaine, notamment de l' ATF 144 III 541 , dont le Tribunal fédéral ne prétend d'ailleurs pas avoir voulu s'écarter. Au demeurant, dans cette affaire, le recourant n'apparaît pas avoir contesté l'application du principe de la bonne foi.</w:t>
      </w:r>
    </w:p>
    <w:p>
      <w:r>
        <w:rPr>
          <w:b/>
        </w:rPr>
        <w:t>E. 4.4</w:t>
      </w:r>
    </w:p>
    <w:p>
      <w:r>
        <w:t>En l'espèce, il est incontesté que R.________ SA ne détient pas les tableaux séquestrés pour la seule débitrice, de sorte que l'office devait assigner à la créancière un délai de 20 jours, au sens de l' art. 108 al. 2 LP , pour ouvrir action contre le recourant. Les arguments de l'intimée n° 2 ne portent pas: ceux dirigés contre le grief d'arbitraire dans l'établissement des faits n'ont aucune portée propre par rapport au suivant. Quant à ceux dirigés contre le grief de violation des art. 106 ss LP , ils reprennent en substance la motivation de l'arrêt attaqué, essentiellement en s'appuyant sur l'arrêt du Tribunal fédéral 5A_342/2020. Or, comme il vient d'être dit, cet arrêt fait une interprétation trop large de la jurisprudence fédérale et se fonde sur un état de fait qui diffère de celui de la présente cause. Le grief de violation des art. 106 ss LP est admis.</w:t>
      </w:r>
    </w:p>
    <w:p>
      <w:r>
        <w:rPr>
          <w:b/>
        </w:rPr>
        <w:t>E. 5</w:t>
      </w:r>
    </w:p>
    <w:p>
      <w:r>
        <w:t>En définitive, le recours est admis. La décision attaquée est annulée et réformée, en ce sens que la plainte formée le 28 septembre 2020 par le recourant contre la décision de l'office du 14 septembre 2020 dans le cadre de l'exécution du séquestre n° xx xxxxxx x est admise et que, en conséquence, un délai de 20 jours commençant à courir dès la communication du présent arrêt est imparti à D.________ pour ouvrir action selon l' art. 108 LP . Il n'y a pas lieu de renvoyer la cause à l'autorité de surveillance, qui a statué sans frais et sans allouer de dépens. Les frais judiciaires, arrêtés à 20'000 fr., sont mis à la charge de D.________, l'office des poursuites ne pouvant être condamné à ce paiement ( art. 66 al. 1 et 4 LTF ). Une indemnité de dépens de 25'000 fr. en faveur du recourant est mise solidairement à la charge des intimés ( art. 68 al. 1 et 4 LTF ). La Caisse du Tribunal fédéral restituera à la recourante le montant total de 20'000 fr. qu'elle avait versé pour garantir les dépens de D.________.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