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5A_486/2014 vom 29. Juli 2014</w:t>
      </w:r>
    </w:p>
    <w:p>
      <w:r>
        <w:t>Bundesgericht, 2014-07-29, FR</w:t>
      </w:r>
    </w:p>
    <w:p>
      <w:r>
        <w:rPr>
          <w:b/>
        </w:rPr>
        <w:t xml:space="preserve">Quelle: </w:t>
      </w:r>
      <w:r>
        <w:t>https://mcp.opencaselaw.ch/entscheid/bger_5A_486_2014</w:t>
      </w:r>
    </w:p>
    <w:p>
      <w:r>
        <w:t>FR: TF 5A_486/2014 du 29 juillet 2014</w:t>
      </w:r>
    </w:p>
    <w:p>
      <w:r>
        <w:t>IT: TF 5A_486/2014 del 29 luglio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et 2, d'une part, et n° 4, d'autre part, pour leurs déterminations sur la requête d'effet suspensif ( art. 68 al. 1 et 2 LTF );</w:t>
      </w:r>
    </w:p>
    <w:p>
      <w:r>
        <w:t>qu'il n'y a pas lieu par ailleurs d'allouer des dépens à l'intimée n° 3, qui s'est certes déterminée sur la requête d'effet suspensif, mais sans être représentée par un avocat;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