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5A_484/2020 vom 16. Februar 2021</w:t>
      </w:r>
    </w:p>
    <w:p>
      <w:r>
        <w:t>Bundesgericht, 2021-02-16, FR</w:t>
      </w:r>
    </w:p>
    <w:p>
      <w:r>
        <w:rPr>
          <w:b/>
        </w:rPr>
        <w:t xml:space="preserve">Quelle: </w:t>
      </w:r>
      <w:r>
        <w:t>https://mcp.opencaselaw.ch/entscheid/bger_5A_484_2020</w:t>
      </w:r>
    </w:p>
    <w:p>
      <w:r>
        <w:t>FR: TF 5A_484/2020 du 16 février 2021</w:t>
      </w:r>
    </w:p>
    <w:p>
      <w:r>
        <w:t>IT: TF 5A_484/2020 del 16 febbraio 2021</w:t>
      </w:r>
    </w:p>
    <w:p>
      <w:pPr>
        <w:pStyle w:val="Heading2"/>
      </w:pPr>
      <w:r>
        <w:t>Erwägungen</w:t>
      </w:r>
    </w:p>
    <w:p>
      <w:r>
        <w:rPr>
          <w:b/>
        </w:rPr>
        <w:t>E. 1</w:t>
      </w:r>
    </w:p>
    <w:p>
      <w:r>
        <w:t>Le recours a été déposé en temps utile ( art. 100 al. 1 LTF ) et dans la forme légale ( art. 42 al. 1 LTF ), contre une décision finale ( art. 90 LTF ) rendue sur recours par une autorité supérieure statuant en dernière instance cantonale ( art. 75 al. 1 et 2 LTF ), dans une affaire civile ( art. 72 al. 1 LTF ). Portant sur les contributions d'entretien et la liquidation du régime matrimonial, le litige est de nature pécuniaire. La valeur litigieuse atteint le seuil de 30'000 fr. (art. 51 al. 1 let. a, 51 al. 4 et 74 al. 1 let. b LTF). La recourante a pris part à la procédure devant l'autorité précédente et a un intérêt digne de protection à la modification ou l'annulation de la décision attaquée ( art. 76 al. 1 let. a et b LTF ). Le recours est donc recevable au regard des dispositions qui précèdent.</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145 V 215 consid. 1.1; 144 III 462 consid. 3.2.3; 143 V 19 consid. 2.3).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Il doit exister un lien entre la motivation du recours et la décision attaquée; le recourant ne peut se contenter de reprendre presque mot pour mot l'argumentation formée devant l'autorité cantonale ( ATF 145 V 161 consid. 5.2; 139 I 306 consid. 1.2).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 142 II 369 consid. 2.1).</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au sens de l' art. 9 Cst. ( ATF 141 IV 249 consid. 1.3.1; 140 III 115 consid. 2; 135 III 397 consid. 1.5), ou ont été établies en violation du droit au sens de l' art. 95 LTF ( art. 105 al. 2 LTF ). Encore faut-il que la correction du vice soit susceptible d'influer sur le sort de la cause ( art. 97 al. 1 LTF ).</w:t>
      </w:r>
    </w:p>
    <w:p>
      <w:r>
        <w:t>La critique de l'état de fait retenu est soumise au principe strict de l'allégation énoncé par l' art. 106 al. 2 LTF (cf. supra consid. 2.1; ATF 140 III 264 consid. 2.3 et les références). La partie qui entend attaquer les faits constatés par l'autorité précédente doit expliquer clairement et de manière circonstanciée en quoi les conditions précitées seraient réalisées ( ATF 140 III 16 consid. 1.3.1 et les références). Les critiques de nature appellatoire, tendant simplement à une nouvelle appréciation des preuves, sont irrecevables ( ATF 145 IV 154 consid. 1.1; 133 II 249 consid. 1.4.3).</w:t>
      </w:r>
    </w:p>
    <w:p>
      <w:r>
        <w:rPr>
          <w:b/>
        </w:rPr>
        <w:t>E. 2.3</w:t>
      </w:r>
    </w:p>
    <w:p>
      <w:r>
        <w:t>L' art. 99 al. 2 LTF prohibe les conclusions nouvelles, à savoir qui n'ont pas été soumises à l'autorité précédente et qui tendent, par conséquent, à élargir l'objet du litige; une augmentation des conclusions en instance fédérale est dès lors interdite ( ATF 143 V 19 consid. 1.1; 142 I 155 consid. 4.4.2 et les références). Cette règle s'applique aussi en matière de contributions d'entretien pour un enfant (arrêts 5A_489/2019 du 24 août 2020 consid. 2.4; 5A_97/2017 du 23 août 2017 consid. 3.3.1 et les références).</w:t>
      </w:r>
    </w:p>
    <w:p>
      <w:r>
        <w:t>Par ailleurs, lorsque, comme ici, l'autorité de dernière instance cantonale peut se limiter à examiner les griefs régulièrement soulevés ( ATF 142 III 413 consid. 2.2.4; arrêt 4A_290/2014 du 1er septembre 2014 consid. 3.1), le principe de l'épuisement matériel des instances cantonales ( art. 75 al. 1 LTF ) veut que les griefs soumis au Tribunal fédéral aient déjà été invoqués devant l'instance précédente ( ATF 143 III 290 consid. 1.1; arrêt 5A_489/2019 du 24 août 2020 consid. 16.2 et les références).</w:t>
      </w:r>
    </w:p>
    <w:p>
      <w:r>
        <w:t>En l'occurrence, la conclusion tendant à ce que la contribution pour l'entretien de l'enfant soit due au-delà de la majorité est nouvelle, partant irrecevable. Il en va ainsi également du grief de violation de l' art. 277 al. 2 CC qui la sous-tend, étant relevé qu'il ne résulte de toute façon pas de l'arrêt attaqué qu'il ait été soulevé en appel.</w:t>
      </w:r>
    </w:p>
    <w:p>
      <w:r>
        <w:rPr>
          <w:b/>
        </w:rPr>
        <w:t>E. 3</w:t>
      </w:r>
    </w:p>
    <w:p>
      <w:r>
        <w:t>La recourante reproche aux juges cantonaux de ne pas avoir considéré que sa " rétractation [de la convention du 12 novembre 2018] [était] justifiée, valide et recevable dans la forme ". Il apparaît toutefois que sa contestation ne consiste qu'à rediscuter librement les constatations de fait de l'arrêt cantonal en livrant une appréciation personnelle de ceux-ci, sans invoquer l'arbitraire ni démontrer leur caractère manifestement inexact. Une telle démarche, purement appellatoire, ne répond à l'évidence pas aux exigences de motivation accrues déduites de l' art. 106 al. 2 LTF , ce qui rend le grief irrecevable (cf. supra consid. 2.2).</w:t>
      </w:r>
    </w:p>
    <w:p>
      <w:r>
        <w:rPr>
          <w:b/>
        </w:rPr>
        <w:t>E. 4</w:t>
      </w:r>
    </w:p>
    <w:p>
      <w:r>
        <w:t>Le même constat s'impose s'agissant de la critique que la recourante développe en lien avec la liquidation du régime matrimonial. En substance, elle considère qu'on ne saurait lui reprocher de ne pas avoir fait ce qu'il fallait pour défendre ses intérêts, notamment de ne rien avoir allégué ni offert de prouver s'agissant de l'utilisation par l'intimé des sommes prélevées sur les comptes communs des parties.</w:t>
      </w:r>
    </w:p>
    <w:p>
      <w:r>
        <w:t>L'argumentation proposée par la recourante s'épuise toutefois en de vaines critiques du déroulement de la procédure de première instance et de l'activité prétendument défaillante de ses anciens conseils et ne consiste, là également, qu'en une tentative vouée à l'échec de remettre en question l'appréciation des preuves sur laquelle reposent les constatations faites par la cour cantonale. Cette manière d'argumenter est dès lors totalement impropre à mettre en cause la constatation de l'autorité précédente selon laquelle la recourante, qui avait alors choisi d'assurer seule la défense de ses intérêts, nonobstant l'avis du 10 décembre 2018 de la présidente l'invitant à lui communiquer le nom de son nouveau conseil, n'avait pas requis à temps les mesures d'instruction utiles relativement à l'utilisation des sommes litigieuses. Cela étant, dans la mesure où la recourante se plaint d'une violation de la " maxime d'office " au motif que la juge de première instance, bien qu'informée du " vol intégral des comptes bancaires communs ainsi que la dissimulation du montant litigieux ", n'avait pas elle-même directement requis la production des " pièces justificatives ", sa critique apparaît également irrecevable, le recours en matière civile au Tribunal fédéral n'étant ouvert que contre les décisions prises par les autorités cantonales de dernière instance ( art. 75 al. 1 LTF ).</w:t>
      </w:r>
    </w:p>
    <w:p>
      <w:r>
        <w:rPr>
          <w:b/>
        </w:rPr>
        <w:t>E. 5</w:t>
      </w:r>
    </w:p>
    <w:p>
      <w:r>
        <w:t>La recourante fait enfin grief à la cour cantonale de lui avoir imputé un revenu hypothétique de 4'040 fr. 05 pour une activité d'instructeur sportif à 75%. Elle estime " tout à fait irréaliste " qu'elle puisse démarrer ou recommencer immédiatement une quelconque activité professionnelle stable, " surtout au vu du contexte sanitaire actuel, du marché du travail, ainsi que de la crise économique qui a déjà commencé à sévir ". Quoi qu'il en soit, un large délai aurait dû lui être accordé pour retrouver une situation professionnelle stable et durable.</w:t>
      </w:r>
    </w:p>
    <w:p>
      <w:r>
        <w:rPr>
          <w:b/>
        </w:rPr>
        <w:t>E. 5.1</w:t>
      </w:r>
    </w:p>
    <w:p>
      <w:r>
        <w:t>Pour fixer la contribution d'entretien, le juge doit en principe tenir compte du revenu effectif des parties. Lorsqu'il entend tenir compte d'un revenu hypothétique, le juge doit examiner successivement deux conditions. Il doit d'abord déterminer si l'on peut raisonnablement exiger du conjoint concerné qu'il exerce une activité lucrative eu égard, notamment, à sa formation, à son âge et à son état de santé: ce faisant, il tranche une question de droit. Le juge doit ensuite examiner si cette personne a la possibilité effective d'exercer l'activité ainsi déterminée et quel revenu elle peut en obtenir, compte tenu des circonstances subjectives susmentionnées ainsi que du marché du travail; il s'agit là d'une question de fait ( ATF 143 III 233 consid. 3.2; 137 III 102 consid. 4.2.2.2; 128 III 4 consid. 4c/bb). Pour arrêter le montant du salaire, le juge peut éventuellement se baser sur l'enquête suisse sur la structure des salaires, réalisée par l'Office fédéral de la statistique, ou sur d'autres sources comme les conventions collectives de travail ( ATF 137 III 118 consid. 3.2; arrêts 5A_254/2019 du 18 juillet 2019 consid. 3.1; 5A_454/2017 du 17 mai 2018 consid. 6.1.1 non publié aux ATF 144 III 377 ).</w:t>
      </w:r>
    </w:p>
    <w:p>
      <w:r>
        <w:t>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de subvenir aux besoins de l'enfant ( ATF 137 III 118 consid. 3.1; arrêts 5A_461/2019 du 6 mars 2020 consid. 3.1; 5A_254/2019 du 18 juillet 2019 consid. 3.1 et les références).</w:t>
      </w:r>
    </w:p>
    <w:p>
      <w:r>
        <w:t>En principe, on accorde à la partie à qui on veut imputer un revenu hypothétique un délai approprié pour s'adapter à sa nouvelle situation; ce délai doit être fixé en fonction des circonstances du cas particulier ( ATF 129 III 417 consid. 2.2; 114 II 13 consid. 5; arrêt 5A_534/2019 du 31 janvier 2020 consid. 4.1; 5A_329/2019 du 25 octobre 2019 consid. 3.3.1.1 et les références).</w:t>
      </w:r>
    </w:p>
    <w:p>
      <w:r>
        <w:rPr>
          <w:b/>
        </w:rPr>
        <w:t>E. 5.2</w:t>
      </w:r>
    </w:p>
    <w:p>
      <w:r>
        <w:t>En l'espèce, l'autorité cantonale a constaté que l'appelante, qui était diplômée de l'Université de Montréal en psychologie et en études supérieures spécialisées en promotion de l'activité physique, se trouvait à la charge des services sociaux. Selon ce qui ressortait du site Internet - désormais inactif - de " F.________ ", elle avait travaillé en qualité d'instructrice en conditionnement physique au Canada. En 2011, elle avait créé l'entreprise susnommée, laquelle était encore active au début de l'année 2016. Selon ce qui ressortait d'une décision du 27 avril 2016, cette activité avait été jugée non viable par les services sociaux. L'appelante avait été en incapacité de travail avant la naissance de sa fille, soit du 1er mai au 31 juillet 2016. Les deux étaient suivies par un médecin psychiatre et pédosychiatre, qui avait notamment déclaré à l'audience du 25 mars 2019 que la mère avait souffert de dépression post-partum, mais que cet épisode dépressif ne pouvait, à son avis, pas se reproduire à l'avenir. Dans un certificat médical du 8 décembre 2017, ledit médecin avait constaté que sa patiente avait récupéré l'entier de ses capacités.</w:t>
      </w:r>
    </w:p>
    <w:p>
      <w:r>
        <w:t>La cour cantonale a également retenu que, comme le fils des parties fréquente la garderie lorsqu'il n'est pas à l'école et qu'il ne prend pas ses repas de midi à la maison, il ne pouvait être considéré que la capacité de gain de la mère fût entièrement entravée par la prise en charge de l'enfant. Au demeurant, durant la vie commune, celle-ci exerçait une activité indépendante, puisqu'elle avait créé son entreprise en 2011. Elle n'avait pas mis fin à cette activité après la naissance de son fils et ne l'avait interrompue qu'en 2016, soit lorsque celui-ci avait trois ans, non pas pour s'occuper personnellement de lui, mais parce que cette activité n'était pas économiquement viable. A u vu de l'exercice de la garde alternée et de l'âge de l'enfant, les juges cantonaux ont estimé que la capacité de gain de la recourante n'était entravée qu'à hauteur de 25%. On ne pouvait en effet tenir compte de la prise en charge de sa fille pour établir les coûts indirects de son fils. Eu égard à son expérience, sa formation, son âge (40 ans) et son absence de problèmes de santé, l'autorité cantonale a jugé que l'appelante était en mesure de travailler dans le domaine sportif, notamment en donnant des cours aux particuliers. Il ressortait du site Internet Salarium que le salaire médian brut, versé douze fois l'an à une femme de 40 ans titulaire d'un permis d'établissement, avec une formation universitaire, travaillant 31,5 h par semaine (42 h x 75%) dans la branche économique de l'enseignement (cat. 85), dans le domaine du service aux particuliers (cat. 51) ou dans une entreprise de moins de vingt employés, sans fonction de cadre, s'élevait à 4'753 fr. par mois, ce qui représentait un salaire mensuel net de 4'040 fr. 05 (4'753 fr. - 15%).</w:t>
      </w:r>
    </w:p>
    <w:p>
      <w:r>
        <w:rPr>
          <w:b/>
        </w:rPr>
        <w:t>E. 5.3</w:t>
      </w:r>
    </w:p>
    <w:p>
      <w:r>
        <w:t>La recourante estime déraisonnable le montant de 4'040 fr. 05 arrêté par la cour cantonale. Elle allègue que de toute sa vie, elle n'a exercé qu'une seule activité professionnelle, consistant à donner des cours de gymnastique en plein air. Depuis son arrivée en Suisse, elle avait pratiqué cette activité de 2011 à 2016 pour un revenu mensuel moyen de 960 fr. Il s'agissait d'un travail peu lucratif et physiquement éprouvant. Il était ainsi difficile de dispenser beaucoup de cours dans une même journée. La recourante affirme ne plus se sentir en mesure de fournir de tels efforts quotidiennement, ayant complètement arrêté le sport depuis sa dernière grossesse, en 2016. Quant au taux d'activité de 75%, il avait été fixé sans tenir compte du fait qu'elle s'occupait pleinement de sa fille de trois ans, la prise en charge de plusieurs enfants pouvant justifier une dérogation à la règle des paliers scolaires. La cour cantonale s'était en outre trompée en tant qu'elle avait retenu que son fils fréquentait une garderie lorsqu'il n'était pas à l'école. Tel n'était en effet pas le cas lorsqu'il était sous sa garde.</w:t>
      </w:r>
    </w:p>
    <w:p>
      <w:r>
        <w:rPr>
          <w:b/>
        </w:rPr>
        <w:t>E. 5.4</w:t>
      </w:r>
    </w:p>
    <w:p>
      <w:r>
        <w:t>Il est douteux que la critique respecte le principe de l'épuisement des instances cantonales (cf. supra consid. 2.3). Il apparaît en effet que l'autorité précédente a examiné la question de l'imputation d'un revenu hypothétique sur le vu des arguments développés par l'intimé dans sa réponse à l'appel. Celui-ci y soutenait en effet qu'il y avait en l'occurrence lieu à une telle imputation, ce qui excluait d'inclure une contribution de prise en charge dans le montant assurant l'entretien convenable de l'enfant. Selon lui, l'appelante était en mesure de couvrir ses charges, lesquelles devaient être arrêtées en tenant compte de ce qu'elle faisait ménage commun avec son concubin. Or il ne résulte pas de l'arrêt attaqué, ni d'ailleurs du " procès-verbal des opérations " figurant au dossier cantonal, que la recourante ait réagi à réception de ladite réponse ou lorsque la cour cantonale l'a informée que la cause était gardée à juger.</w:t>
      </w:r>
    </w:p>
    <w:p>
      <w:r>
        <w:t>Quoi qu'il en soit, force est de constater qu'une fois encore, la recourante se contente d'opposer sa propre appréciation des faits à celle retenue par les juges précédents sans démontrer en quoi celle-ci serait insoutenable. Il en va ainsi, en particulier, de ses considérations relatives à son ancienne activité d'instructrice sportive et à la prétendue difficulté de la reprendre actuellement. Sont également de nature appellatoire, partant irrecevables, les allégations selon lesquelles la cour cantonale se serait trompée sur les modalités de la prise en charge de son fils, étant précisé que ladite autorité a réfuté l'affirmation de la recourante selon laquelle elle ne confierait pas l'enfant à des tiers lorsqu'il était auprès d'elle sur la base des déclarations d'une assistante sociale auprès du Service de protection de la jeunesse (SPJ), qui avait indiqué lors de l'audience du 25 mars 2019, renseignements pris auprès de la structure d'accueil, que la recourante amenait l'enfant à la garderie durant les jours où elle bénéficiait de la garde. Quant au taux de 75%, la recourante tente de le remettre en cause au moyen d'affirmations péremptoires ne respectant pas les exigences de motivation sus-rappelées ( art. 42 al. 2 LTF ; cf supra consid. 2.1). Singulièrement, elle ne discute pas l'opinion de l'autorité cantonale selon laquelle, en présence d'une garde partagée, soit lorsque l'enfant ne justifie plus qu'une prise en charge à 50%, il est en principe légitime de reconnaître à chaque parent la faculté d'accomplir un travail rémunéré à un tel taux. Sauf à soutenir péremptoirement le contraire, elle ne discute pas non plus l'avis des juges cantonaux selon lequel la prise en charge de sa fille ne doit pas être prise en compte pour établir les coûts indirects de son fils.</w:t>
      </w:r>
    </w:p>
    <w:p>
      <w:r>
        <w:t>Reste la question du " large " délai d'adaptation qui aurait prétendument dû lui être octroyé. La recourante perd toutefois de vue que la cour cantonale a examiné si un revenu hypothétique pouvait lui être imputé uniquement dans le but de vérifier l'adéquation du montant convenu pour l'entretien convenable de C.________ dans la convention passée lors de l'audience du 12 novembre 2018, soit il y a plus de deux ans. Quoi qu'il en soit, en se bornant à affirmer qu'un délai d'adaptation supplémentaire lui serait encore nécessaire, la recourante échoue à démontrer que l'autorité précédente aurait abusé de son pouvoir d'appréciation en estimant - même implicitement - qu'un surplus de temps ne se justifiait pas.</w:t>
      </w:r>
    </w:p>
    <w:p>
      <w:r>
        <w:t>Autant que recevable, le grief doit être rejeté.</w:t>
      </w:r>
    </w:p>
    <w:p>
      <w:r>
        <w:rPr>
          <w:b/>
        </w:rPr>
        <w:t>E. 6</w:t>
      </w:r>
    </w:p>
    <w:p>
      <w:r>
        <w:t>En définitive, le recours est rejeté dans la faible mesure de sa recevabilité. Ses conclusions étant d'emblée dénuées de chances de succès, la requête d'assistance judiciaire ne saurait être agréée ( art. 64 al. 1 LTF ). Les frais judiciaires seront mis à la charge de la recourante, qui succombe ( art. 66 al. 1 LTF ). Il n'y a pas lieu d'allouer de dépens à l'intimé, qui n'a pas été invité à répondre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