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5A_483/2019 vom 19. Juni 2019</w:t>
      </w:r>
    </w:p>
    <w:p>
      <w:r>
        <w:t>Bundesgericht, 2019-06-19, FR</w:t>
      </w:r>
    </w:p>
    <w:p>
      <w:r>
        <w:rPr>
          <w:b/>
        </w:rPr>
        <w:t xml:space="preserve">Quelle: </w:t>
      </w:r>
      <w:r>
        <w:t>https://mcp.opencaselaw.ch/entscheid/bger_5A_483_2019</w:t>
      </w:r>
    </w:p>
    <w:p>
      <w:r>
        <w:t>FR: TF 5A_483/2019 du 19 juin 2019</w:t>
      </w:r>
    </w:p>
    <w:p>
      <w:r>
        <w:t>IT: TF 5A_483/2019 del 19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23 octobre 2018, A.________ (</w:t>
      </w:r>
    </w:p>
    <w:p>
      <w:r>
        <w:t>poursuivante ) a fait notifier à l'Etat de Vaud (</w:t>
      </w:r>
    </w:p>
    <w:p>
      <w:r>
        <w:t>poursuivi ) un commandement de payer les sommes de 431'977 fr. 30 avec intérêts à 5% l'an dès le 8 septembre 2017 et de 50'000 fr. avec intérêts à 5% l'an dès le 1er janvier 2000, invoquant comme causes des obligations une "</w:t>
      </w:r>
    </w:p>
    <w:p>
      <w:r>
        <w:t>facture du 08.09.2017 adressée à la Chambre patrimoniale cantonale (...)</w:t>
      </w:r>
    </w:p>
    <w:p>
      <w:r>
        <w:t>suite au jugement de pacotille rendu le 3 novembre 2015 " (1), ainsi qu'un "</w:t>
      </w:r>
    </w:p>
    <w:p>
      <w:r>
        <w:t>dédommagement pour tort moral " (2); cet acte a été frappé d'opposition totale (poursuite ordinaire n° x'xxx'xxx de l'Office des poursuites du district de Lausanne).</w:t>
      </w:r>
    </w:p>
    <w:p>
      <w:r>
        <w:t>Le 23 octobre 2018, la poursuivante a requis la mainlevée provisoire de l'opposition à concurrence des sommes en poursuite. Par prononcé du 8 janvier 2019, la Juge de paix du district de Lausanne a rejeté la requête; statuant le 9 mai suivant, la Cour des poursuites et faillites du Tribunal cantonal vaudois a déclaré irrecevable le recours formé par la poursuivante.</w:t>
      </w:r>
    </w:p>
    <w:p>
      <w:r>
        <w:rPr>
          <w:b/>
        </w:rPr>
        <w:t>E. 2</w:t>
      </w:r>
    </w:p>
    <w:p>
      <w:r>
        <w:t>Par mémoire daté du 13 juin 2019, la poursuivante exerce un recours au Tribunal fédéral contre l'arrêt de la cour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), la valeur litigieuse étant manifestement atteinte ( art. 74 al. 1 let. b LTF ). Il n'y a pas lieu d'examiner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la juridiction précédente a retenu que le courrier que la poursuivante a adressé le 26 mars 2019 à la juge de paix, dans le délai de recours, ne contient qu'une demande de prolongation du délai de recours; une telle requête ne peut cependant pas être accordée, le délai de recours étant un délai légal, qui n'est dès lors pas susceptible de prolongation ( art. 144 al. 1 CPC ). Pour le surplus, cette écriture ne comporte aucune critique motivée à l'encontre de la décision attaquée, notamment quant à l'absence de pièce valant reconnaissance de dette au sens de l' art. 82 al. 1 LP et, partant, titre à la mainlevée provisoire de l'opposition. Les écritures déposées le 5 avril 2019 - comprenant deux lettres des 25 mars et 5 avril 2019 -, à savoir après l'expiration du délai de recours, sont tardives; de toute façon, elles n'exposent aucun grief pertinent contre les considérants topiques du premier juge.</w:t>
      </w:r>
    </w:p>
    <w:p>
      <w:r>
        <w:rPr>
          <w:b/>
        </w:rPr>
        <w:t>E. 4.2</w:t>
      </w:r>
    </w:p>
    <w:p>
      <w:r>
        <w:t>La recourante ne soulève aucun moyen motivé en conformité avec l' art. 42 al. 2 LTF contre le refus de l'autorité cantonale de prolonger le délai de recours en raison de la nature (légale) de ce délai (</w:t>
      </w:r>
    </w:p>
    <w:p>
      <w:r>
        <w:t>cf . parmi plusieurs: TAPPY,</w:t>
      </w:r>
    </w:p>
    <w:p>
      <w:r>
        <w:t>in : Commentaire romand, CPC, 2e éd., 2019, n° 3 ad art. 144 CPC ). Elle ne réfute pas davantage les motifs de la juridiction précédente tirés de l'absence de motivation du recours (cantonal) au regard de l' art. 321 al. 1 CPC ainsi que de la tardiveté des écritures du 5 avril 2019. Faute de motivation correspondant à l'exigence légale, le recours doit être écarté d'emblée ( ATF 142 III 364 consid. 2.4).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