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5A_482/2010 vom 16. September 2010</w:t>
      </w:r>
    </w:p>
    <w:p>
      <w:r>
        <w:t>Bundesgericht, 2010-09-16, FR</w:t>
      </w:r>
    </w:p>
    <w:p>
      <w:r>
        <w:rPr>
          <w:b/>
        </w:rPr>
        <w:t xml:space="preserve">Quelle: </w:t>
      </w:r>
      <w:r>
        <w:t>https://mcp.opencaselaw.ch/entscheid/bger_5A_482_2010</w:t>
      </w:r>
    </w:p>
    <w:p>
      <w:r>
        <w:t>FR: TF 5A_482/2010 du 16 septembre 2010</w:t>
      </w:r>
    </w:p>
    <w:p>
      <w:r>
        <w:t>IT: TF 5A_482/2010 del 16 settembre 2010</w:t>
      </w:r>
    </w:p>
    <w:p>
      <w:pPr>
        <w:pStyle w:val="Heading2"/>
      </w:pPr>
      <w:r>
        <w:t>Erwägungen</w:t>
      </w:r>
    </w:p>
    <w:p>
      <w:r>
        <w:rPr>
          <w:b/>
        </w:rPr>
        <w:t>E. 1.1</w:t>
      </w:r>
    </w:p>
    <w:p>
      <w:r>
        <w:t>La décision sur opposition au séquestre rendue par l'autorité judiciaire supérieure au sens de l' art. 278 al. 3 LP est une décision finale au sens de l' art. 90 LTF , prise en dernière instance cantonale ( art. 75 al. 1 LTF ), qui peut faire l'objet d'un recours en matière civile selon l' art. 72 al. 2 let. a LTF ( ATF 133 III 589 consid. 1), pour autant que la valeur litigieuse soit supérieure à 30'000 fr. ( art. 74 al. 1 let. b LTF ), ce qui est manifestement le cas en l'espèce. Ayant requis le séquestre litigieux, la recourante a la qualité pour recourir ( art. 76 al. 1 LTF ). Le recours a par ailleurs été interjeté en temps utile ( art. 100 al. 1 LTF ).</w:t>
      </w:r>
    </w:p>
    <w:p>
      <w:r>
        <w:rPr>
          <w:b/>
        </w:rPr>
        <w:t>E. 1.2</w:t>
      </w:r>
    </w:p>
    <w:p>
      <w:r>
        <w:t>La décision sur opposition au séquestre constituant une décision de mesures provisionnelles au sens de l' art. 98 LTF ( ATF 133 III 589 consid. 1), seule peut être invoquée la violation des droits constitutionnels. Le Tribunal fédéral n'examine la violation des droits fondamentaux que si ce grief a été invoqué et motivé par le recourant ( art. 106 al. 2 LTF ). Celui-ci doit donc exposer de manière claire et détaillée en quoi des droits constitutionnels auraient été violés ( ATF 134 I 83 consid. 3.2 p. 88 et les arrêts cités).</w:t>
      </w:r>
    </w:p>
    <w:p>
      <w:r>
        <w:rPr>
          <w:b/>
        </w:rPr>
        <w:t>E. 2.1</w:t>
      </w:r>
    </w:p>
    <w:p>
      <w:r>
        <w:t>L' art. 272 al. 1 LP subordonne l'autorisation de séquestre notamment à la condition que le créancier rende vraisemblable l'existence de sa créance (ch. 1). A cet effet, celui-ci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(cf. arrêt 5A_364/2008 du 12 août 2008 consid. 4.2.1). De son côté, le poursuivi doit s'efforcer de démontrer, en s'appuyant sur les moyens de preuve à sa disposition, que son point de vue est plus vraisemblable que celui du créancier séquestrant (arrêt 5P.336/2003 du 21 novembre 2003 consid. 2 et les références citées). Savoir si le degré de vraisemblance exigé par le droit fédéral est atteint dans le cas concret est une question qui relève de l'appréciation des preuves (arrêt 5P.95/2004 du 20 août 2004 consid. 2.2 et les références).</w:t>
      </w:r>
    </w:p>
    <w:p>
      <w:r>
        <w:rPr>
          <w:b/>
        </w:rPr>
        <w:t>E. 2.2</w:t>
      </w:r>
    </w:p>
    <w:p>
      <w:r>
        <w:t>Les motifs qui ont conduit la cour cantonale à retenir que la recourante n'avait pas rendu vraisemblable sa prétendue créance sont, en bref, les suivants: pour soutenir que l'addendum no 3 portait sur un lot supplémentaire de 10'000 tonnes métriques de mazout, A.________ se fondait essentiellement sur l'absence, dans le texte de ce document, de toute référence à l'addendum no 1; A.________ n'avait cependant pas contesté sa responsabilité dans l'impossibilité pour B.________ de lui livrer 15'000 tonnes métriques de mazout en juin 2009, ni le fait que la livraison des 10'000 tonnes métriques restantes n'avait, en conséquence, eu lieu qu'en juillet 2009; elle n'avait en outre pas contredit l'allégation de B.________ selon laquelle le prix courant du mazout avait augmenté entre le mois de juin et le mois de juillet 2009; or, ces éléments contribuaient à rendre vraisemblable que l'addendum no 3 avait été conclu surtout aux fins de revoir le prix de la marchandise restant à livrer à A.________ en vertu de l'addendum no 1; du reste, une lettre du fournisseur de B.________, bien qu'insuffisante sur le fond, indiquait, au stade de la vraisemblance, que c'était précisément de cette manière que ceux-ci avaient procédé dans le cadre de leurs rapports contractuels; même à suivre la thèse défendue par A.________, il apparaissait que celle-ci n'avait pas mis en demeure B.________ pour qu'elle lui livre les 10'000 tonnes métriques supplémentaires devant prétendument lui être remises en juillet 2009 au titre de l'addendum no 3; or, une telle omission était insolite, à plus forte raison si A.________ devait ensuite livrer cette marchandise à C.________, car elle aurait alors très vraisemblablement cherché à prévenir un dommage; par ailleurs, il ressortait du contrat entre C.________ et A.________ que cette livraison devait être effectuée en trois lots de 15'000 tonnes métriques; or, la quantité visée par l'addendum no 3 n'était pas équivalente à un tel lot; de plus, la qualité de la marchandise concernée dans les deux cas n'apparaissait pas identique (le contrat entre C.________ et A.________ ne comportait pas l'indication « M-100 » et visait du mazout hautement sulfuré); du reste, C.________ avait reproché à A.________ de lui avoir livré de la marchandise - vraisemblablement les 15'000 tonnes métriques que lui avait préalablement livrées la recourante entre juin et juillet 2009 - d'une qualité différente de celle convenue par contrat; A.________ n'avait par ailleurs apporté aucun élément concret laissant penser qu'elle avait dû dédommager ou devrait dédommager C.________; au surplus, comme la recourante avait invoqué une créance en dommages-intérêts, cette créance n'était pas échue lorsqu'elle avait requis le séquestre, car le contrat et l'addendum n° 3 n'avaient été résiliés que postérieurement à la requête.</w:t>
      </w:r>
    </w:p>
    <w:p>
      <w:r>
        <w:rPr>
          <w:b/>
        </w:rPr>
        <w:t>E. 2.3</w:t>
      </w:r>
    </w:p>
    <w:p>
      <w:r>
        <w:t>La recourante fait valoir que, sous divers aspects qui seront abordés au considérant 4 ci-après, c'est arbitrairement et en violation de son droit d'être entendue que la cour cantonale a retenu qu'elle n'avait pas rendu vraisemblable sa créance et que cette dernière n'était au surplus pas échue au moment où le séquestre a été requis.</w:t>
      </w:r>
    </w:p>
    <w:p>
      <w:r>
        <w:rPr>
          <w:b/>
        </w:rPr>
        <w:t>E. 3.1</w:t>
      </w:r>
    </w:p>
    <w:p>
      <w:r>
        <w:t>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puisse entrer en considération ou même qu'elle soit préférable; pour que la décision attaquée soit annulée, il faut qu'elle soit insoutenable non seulement dans sa motivation, mais encore dans son résultat, ce qu'il appartient à la partie recourante de démontrer (cf. art. 106 al. 2 LTF ; ATF 135 V 2 consid. 1.3 p. 4 s.; 134 I 263 consid. 3.1 p. 265 s.).</w:t>
      </w:r>
    </w:p>
    <w:p>
      <w:r>
        <w:t>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134 V 53 consid. 4.3; 129 I 8 consid. 2.1). Les critiques de nature appellatoire sont irrecevables ( ATF 133 III 585 consid. 4.1, 589 consid. 2 p. 592 et les arrêts cités).</w:t>
      </w:r>
    </w:p>
    <w:p>
      <w:r>
        <w:rPr>
          <w:b/>
        </w:rPr>
        <w:t>E. 3.2</w:t>
      </w:r>
    </w:p>
    <w:p>
      <w:r>
        <w:t>La jurisprudence a déduit du droit d'être entendu garanti par l' art. 29 al. 2 Cst. , en particulier, le droit pour le justiciable de fournir des preuves quant aux faits de nature à influer sur le sort de la décision ( ATF 132 V 368 consid. 3.1 et les références), ce qui implique l'obligation pour l'autorité de donner suite aux offres de preuves présentées en temps utile et dans les formes requises, à moins qu'elles ne soient manifestement inaptes à apporter la preuve ou qu'il s'agisse de prouver un fait sans pertinence (cf. ATF 131 I 153 consid. 3; 124 I 241 consid. 2; 121 I 306 consid. 1b). La jurisprudence a également déduit de la garantie constitutionnelle précitée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130 II 530 consid. 4.3 p. 540; 129 I 232 consid. 3.2 p. 236 et les arrêts cités). Il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4.1</w:t>
      </w:r>
    </w:p>
    <w:p>
      <w:r>
        <w:t>La recourante reproche à la cour cantonale de n'avoir pas tenu compte de sa contestation d'un allégué de l'intimée et d'avoir pris arbitrairement en considération sa responsabilité dans la livraison partielle du 2 juillet [recte: du mois de juin] (recours, p. 6 ss let. a).</w:t>
      </w:r>
    </w:p>
    <w:p>
      <w:r>
        <w:t>Dans son mémoire d'appel, l'intimée a allégué que « en raison d'un retard des wagons citernes, dont [la recourante] avait seule la charge et la responsabilité, la livraison de la quantité de 15'000 tonnes n'a pu être effectuée au mois de juin ». Elle a notamment produit, à l'appui de cet allégué, deux courriers des 1er et 2 juillet 2009 adressés à la recourante et faisant état du problème survenu (pièces 5 et 7). Le second de ces courriers, émanant de l'intimée, précisait en particulier que « la livraison de juin 2009 n'était pas possible en raison de la mise à disposition tardive des citernes par votre expéditeur et des problèmes qui sont arrivés en conséquence de l'enregistrement tardif en douane ».</w:t>
      </w:r>
    </w:p>
    <w:p>
      <w:r>
        <w:t>La recourante a partiellement contesté l'allégué en question. Elle a admis qu'il y avait eu un « problème avec le transporteur et la mise à disposition des wagons citernes », tout en précisant qu'elle n'avait jamais reçu les pièces 5 et 7 produites par l'intimée. Elle a concédé par ailleurs que ce « problème subséquent pour le transport [était] du ressort de l'acheteur, dans le cas d'espèce [elle-même] A.________ ».</w:t>
      </w:r>
    </w:p>
    <w:p>
      <w:r>
        <w:t>Sur la base des pièces en question et de la détermination de la recourante, la cour cantonale pouvait considérer sans arbitraire que celle-ci n'avait pas contesté sa responsabilité dans l'impossibilité pour l'intimée de lui livrer 15'000 tonnes métriques de mazout en juin 2009. La cour n'a nullement admis cette responsabilité comme prétendu dans le recours, mais a simplement constaté qu'elle n'était pas contestée. Elle n'avait pas à se prononcer expressément sur le moyen de la recourante consistant simplement à nier avoir reçu les deux courriers susmentionnés (cf. consid. 3.2 ci-dessus). La cour a préféré la thèse de l'intimée, selon laquelle l'addendum n° 3 avait été conclu surtout aux fins de revoir le prix de la marchandise restant à livrer en vertu de l'addendum n° 1, à celle de la recourante, selon laquelle l'addendum n° 3 prévoyait la livraison de 10'000 tonnes supplémentaires de mazout; dans l'examen qui a conduit à son choix, elle pouvait raisonnablement, partant sans arbitraire, trouver insolite l'omission par la recourante d'une mise en demeure concernant la prétendue livraison supplémentaire et refuser d'accorder crédit à un allégué se bornant à faire état d'une prétendue mise en demeure faite oralement à plusieurs reprises. Au demeurant, l'argument tiré de l'omission d'une mise en demeure a été avancé par la cour cantonale à titre subsidiaire.</w:t>
      </w:r>
    </w:p>
    <w:p>
      <w:r>
        <w:rPr>
          <w:b/>
        </w:rPr>
        <w:t>E. 4.2</w:t>
      </w:r>
    </w:p>
    <w:p>
      <w:r>
        <w:t>C'est arbitrairement, estime la recourante, que la cour cantonale a pris en compte l'augmentation du prix du mazout (recours p. 9 s. let. b).</w:t>
      </w:r>
    </w:p>
    <w:p>
      <w:r>
        <w:t>En instance cantonale, l'intimée a produit un addendum au contrat la liant à son propre fournisseur, aux termes duquel le prix initialement convenu entre eux avait été modifié en ce qui concernait les 10'000 tonnes métriques manquantes, ainsi qu'un courrier dudit fournisseur confirmant que la conclusion de cet addendum découlait de l'évolution du prix de la marchandise. Dans sa requête de séquestre, la recourante avait elle-même soutenu que le prix du mazout en cause était de l'ordre de 400,25 USD au 31 juillet 2009. En retenant que la recourante n'avait pas contredit l'intimée qui prétendait que le prix courant du mazout avait augmenté entre les mois de juin et de juillet 2009, la cour cantonale n'a nullement procédé à une déduction insoutenable et donc arbitraire.</w:t>
      </w:r>
    </w:p>
    <w:p>
      <w:r>
        <w:rPr>
          <w:b/>
        </w:rPr>
        <w:t>E. 4.3</w:t>
      </w:r>
    </w:p>
    <w:p>
      <w:r>
        <w:t>La recourante soutient qu'en tenant pour vraisemblable que l'addendum n° 3 avait été conclu surtout aux fins de revoir le prix de la marchandise restant à livrer en vertu de l'addendum n° 1, la cour cantonale n'a arbitrairement pas pris en compte le texte clair de l'addendum n° 3 et du courrier du 2 juillet 2009 produit par l'intimée, et a violé arbitrairement l' art. 18 CO (recours p. 10 s. let. c).</w:t>
      </w:r>
    </w:p>
    <w:p>
      <w:r>
        <w:t>A l'appui de sa critique, la recourante fait valoir que le texte de l'addendum n° 3 ne se réfère pas à l'addendum n° 1, ni au fait que les 10'000 tonnes seraient en réalité le solde de mazout prévu par l'addendum n° 1. Selon les constatations de fait de l'arrêt attaqué, dont elle ne prétend pas, et surtout n'établit pas, qu'elles auraient été opérées de façon manifestement inexacte ou en violation du droit au sens de l' art. 95 LTF (cf. art. 105 al. 2 LTF ), la recourante a pourtant admis que sur la quantité prévue par l'addendum n° 1, soit 15'000 tonnes métriques, seules 5'000 tonnes métriques avaient pu lui être livrées en juin 2009 et que les 10'000 tonnes métriques restantes lui avaient été livrées le 11 juillet 2009 (arrêt attaqué, p. 3 let. g et p. 5 let. E, 2ème paragraphe).</w:t>
      </w:r>
    </w:p>
    <w:p>
      <w:r>
        <w:t>Il convient en outre de relever que le texte de l'addendum n° 3 se différencie de celui de l'addendum n° 1 en ce sens qu'il prévoit, non pas, comme dans celui-ci, que le prix « est fixé », mais qu'il « doit être fixé », indice en quelque sorte qu'une adaptation était devenue nécessaire selon la thèse de l'intimée retenue par la cour cantonale.</w:t>
      </w:r>
    </w:p>
    <w:p>
      <w:r>
        <w:t>La recourante soutient que le courrier du 2 juillet 2009, par lequel l'intimée l'avisait que les volumes non livrés en juin le seraient en juillet au « prix convenu », ne pouvait être compris que comme indiquant que le solde de 10'000 tonnes serait livré en juillet selon le prix convenu dans l'addendum n° 1. Ce faisant, elle ne fait qu'avancer sa propre thèse et ne démontre pas en quoi il était insoutenable d'admettre que l'addendum n° 3 avait été conclu précisément aux fins de revoir le prix de la marchandise restant à livrer en vertu de l'addendum n° 1. Ce dernier point de vue s'accorde du reste avec la teneur de l'article 3.1 du contrat de base du 19 juin 2009, qui prévoit que le prix de la marchandise est fixé « pour chaque envoi » dans l'annexe au contrat (addendum). Or, comme on vient de le voir (consid. 4.2), la recourante n'a pas contredit l'intimée qui prétendait que le prix du mazout avait augmenté.</w:t>
      </w:r>
    </w:p>
    <w:p>
      <w:r>
        <w:t>Le grief de violation arbitraire de l' art. 18 CO doit être rejeté, faute pour la recourante de démontrer en quoi il était insoutenable d'interpréter l'addendum n° 3 dans le sens que lui a donné la cour cantonale sur la base des éléments du dossier, la recourante se contentant d'ailleurs, là aussi, d'opposer son point de vue, sans du reste l'étayer, à celui de l'autorité cantonale.</w:t>
      </w:r>
    </w:p>
    <w:p>
      <w:r>
        <w:rPr>
          <w:b/>
        </w:rPr>
        <w:t>E. 4.4</w:t>
      </w:r>
    </w:p>
    <w:p>
      <w:r>
        <w:t>La recourante reproche à la cour cantonale d'avoir arbitrairement pris en compte la lettre du fournisseur de l'intimée, produite par cette dernière (recours p. 11 ss let. d).</w:t>
      </w:r>
    </w:p>
    <w:p>
      <w:r>
        <w:t>Cette lettre indique en substance qu'en vertu d'un addendum au contrat conclu avec son fournisseur, une quantité de 15'000 tonnes devait être livrée à l'intimée au mois de juin 2009, que le 29 juin, une quantité de seulement 5'015,975 tonnes avait pu être livrée suite à un retard dans l'acheminement des wagons-citernes, qu'en raison du fait que le prix de la marchandise oscillait chaque mois, un nouvel addendum au contrat portant sur les 10'000 tonnes non expédiées avait dû être conclu et que la quantité entière de la marchandise, soit un volume de 15'000 tonnes, avait été expédiée à la mi-juillet au plus tard. Le contrat entre l'intimée et son fournisseur ainsi que son addendum auxquels la lettre en question faisait référence ont également été produits en instance cantonale.</w:t>
      </w:r>
    </w:p>
    <w:p>
      <w:r>
        <w:t>Statuant sur le vu des pièces produites, et non de la seule lettre incriminée, la cour cantonale a considéré, sous l'angle de la vraisemblance, que c'était de la manière invoquée par l'intimée que celle-ci et son fournisseur avaient procédé dans le cadre de leurs rapports contractuels.</w:t>
      </w:r>
    </w:p>
    <w:p>
      <w:r>
        <w:t>La recourante fait valoir que la lettre du fournisseur constituerait un témoignage écrit proscrit par l' art. 186 LPC /GE. Cette disposition traite du fardeau de la preuve en général. La recourante n'en indique toutefois pas la teneur, ni en quoi précisément elle aurait été violée, et elle se borne à citer de la doctrine relative aux dispositions impératives de la loi en matière de preuves testimoniales, inapplicables ici puisque, en matière de séquestre, il est statué au regard des seules pièces et allégations des parties (cf. consid. 2.1 ci-dessus; ATF 112 III 112 consid. 2b ; arrêt 5A_317/2009 du 20 août 2009 consid. 3.2). Elle ne démontre pas, par ailleurs, que la cour cantonale a commis arbitraire en statuant comme elle l'a fait sur la base des pièces à disposition et en rejetant par conséquent implicitement sa requête visant à ce que la lettre en question soit écartée. Au demeurant, sur ce point, la décision attaquée n'avait pas besoin d'être spécialement motivée (cf. consid. 3.2 ci-dessus).</w:t>
      </w:r>
    </w:p>
    <w:p>
      <w:r>
        <w:rPr>
          <w:b/>
        </w:rPr>
        <w:t>E. 4.5</w:t>
      </w:r>
    </w:p>
    <w:p>
      <w:r>
        <w:t>La recourante reproche à la cour cantonale une prise en compte arbitraire de la qualité du mazout et une méconnaissance du système GOST (recours p. 13 s. let. e).</w:t>
      </w:r>
    </w:p>
    <w:p>
      <w:r>
        <w:t>Elle se contente toutefois d'opposer, par de simples affirmations, sa thèse à celle de la cour cantonale selon laquelle, sous l'angle de la vraisemblance, la qualité de la marchandise livrée à la recourante et à Iprom n'apparaissait pas identique. De nature clairement appellatoire, les critiques émises sur ce point sont irrecevables.</w:t>
      </w:r>
    </w:p>
    <w:p>
      <w:r>
        <w:rPr>
          <w:b/>
        </w:rPr>
        <w:t>E. 4.6</w:t>
      </w:r>
    </w:p>
    <w:p>
      <w:r>
        <w:t>La recourante fait valoir enfin que la cour cantonale aurait appliqué la Convention des Nations Unies sur les contrats de vente internationale de marchandises (CVIM; RS 0.221.211.1) de manière arbitraire en soumettant la réclamation des dommages-intérêts à la condition de la résolution du contrat. La cour aurait en outre violé l' art. 29 Cst. en ne traitant pas de manière pertinente cette question (recours p. 14 ss let. f).</w:t>
      </w:r>
    </w:p>
    <w:p>
      <w:r>
        <w:t>Il n'est pas contesté que le droit suisse et la convention précitée s'appliquent aux rapports contractuels entre les parties ( art. 116 al. 1 LDIP et art. 1 al. 1 let. b CVIM ).</w:t>
      </w:r>
    </w:p>
    <w:p>
      <w:r>
        <w:t>L' art. 74 CVIM , invoqué par la recourante devant le Tribunal fédéral, énonce le principe de base de l'étendue des dommages-intérêts; les art. 75 et 76 CVIM concernent l'obligation de verser des dommages-intérêts en cas de résolution de la vente (KARL H. NEUMAYER/CATHERINE MING, Convention de Vienne sur les contrats de vente internationale de marchandises, Publication Cedidac 24, 1993, p. 482). En l'espèce, l'on se trouve dans ce cas de figure, la recourante ayant elle-même invoqué les art. 75 et 76 CVIM à l'appui de sa créance (arrêt attaqué, p. 4 let. D in fine).</w:t>
      </w:r>
    </w:p>
    <w:p>
      <w:r>
        <w:t>Les art. 75 et 76 CVIM subordonnant expressément l'obtention de dommages-intérêts à la résolution du contrat (« lorsque le contrat est résolu »), la cour cantonale n'a pas violé le droit en retenant que la créance en dommages-intérêts invoquée par la recourante n'était pas échue lorsque celle-ci a requis le séquestre (30 septembre 2009), puisque le contrat et l'addendum n° 3 n'ont été résiliés que postérieurement à cette requête (18 février 2010).</w:t>
      </w:r>
    </w:p>
    <w:p>
      <w:r>
        <w:t>A ce propos, la recourante fait valoir que dans son courrier du 18 février 2009 [recte: 2010], elle a indiqué qu'elle « confirmait » la résiliation du contrat, ce qui présupposerait que celui-ci avait d'ores et déjà été résilié. Faute de précision de sa part sur la date de cette prétendue résiliation antérieure, dont la cour cantonale aurait dû tenir compte, le moyen soulevé ne peut être pris en considération.</w:t>
      </w:r>
    </w:p>
    <w:p>
      <w:r>
        <w:rPr>
          <w:b/>
        </w:rPr>
        <w:t>E. 5</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