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5A_480/2008 vom 5. November 2008</w:t>
      </w:r>
    </w:p>
    <w:p>
      <w:r>
        <w:t>Bundesgericht, 2008-11-05, FR</w:t>
      </w:r>
    </w:p>
    <w:p>
      <w:r>
        <w:rPr>
          <w:b/>
        </w:rPr>
        <w:t xml:space="preserve">Quelle: </w:t>
      </w:r>
      <w:r>
        <w:t>https://mcp.opencaselaw.ch/entscheid/bger_5A_480_2008</w:t>
      </w:r>
    </w:p>
    <w:p>
      <w:r>
        <w:t>FR: TF 5A_480/2008 du 5 novembre 2008</w:t>
      </w:r>
    </w:p>
    <w:p>
      <w:r>
        <w:t>IT: TF 5A_480/2008 del 5 novembre 2008</w:t>
      </w:r>
    </w:p>
    <w:p>
      <w:pPr>
        <w:pStyle w:val="Heading2"/>
      </w:pPr>
      <w:r>
        <w:t>Erwägungen</w:t>
      </w:r>
    </w:p>
    <w:p>
      <w:r>
        <w:rPr>
          <w:b/>
        </w:rPr>
        <w:t>E. 1</w:t>
      </w:r>
    </w:p>
    <w:p>
      <w:r>
        <w:t>Le Tribunal fédéral examine d'office et librement la recevabilité des recours qui lui sont soumis ( ATF 134 III 115 consid. 1 p. 117 et les arrêts cités).</w:t>
      </w:r>
    </w:p>
    <w:p>
      <w:r>
        <w:rPr>
          <w:b/>
        </w:rPr>
        <w:t>E. 1.1</w:t>
      </w:r>
    </w:p>
    <w:p>
      <w:r>
        <w:t>Interjeté en temps utile ( art. 100 al. 1 LTF ) contre une décision finale ( art. 90 LTF ) rendue sur recours par la dernière autorité cantonale en matière de mesures tutélaires dans le canton de Genève (art. 35 LOJ/GE [RSG E 2 05]; art. 75 al. 1 LTF ), dans une affaire non pécuniaire de droit public connexe au droit civil (art. 72 al. 2 let. b ch. 7 LTF), le recours en matière civile est en principe recevable.</w:t>
      </w:r>
    </w:p>
    <w:p>
      <w:r>
        <w:rPr>
          <w:b/>
        </w:rPr>
        <w:t>E. 1.2</w:t>
      </w:r>
    </w:p>
    <w:p>
      <w:r>
        <w:t>En vertu de l'art. 1er de la Convention de la Haye, du 5 octobre 1961, concernant la compétence des autorités et la loi applicable en matière de protection des mineurs (RS 0.211.231.01; ci-après: la Convention), applicable par renvoi de l' art. 85 al. 1 LDIP , les autorités de la résidence habituelle d'un mineur sont compétentes pour prendre les mesures tendant à la protection de sa personne ou de ses biens.</w:t>
      </w:r>
    </w:p>
    <w:p>
      <w:r>
        <w:t>En l'espèce, il est incontesté que l'enfant a sa résidence habituelle en Suisse; cela étant, les autorités suisses sont compétentes pour statuer sur le droit de visite - mesure de protection du mineur ( ATF 132 III 586 consid. 2.2.1 p. 590 et les arrêts mentionnés) - en application du droit suisse (art. 2 de la Convention).</w:t>
      </w:r>
    </w:p>
    <w:p>
      <w:r>
        <w:rPr>
          <w:b/>
        </w:rPr>
        <w:t>E. 1.3</w:t>
      </w:r>
    </w:p>
    <w:p>
      <w:r>
        <w:t>Le recours en matière civile peut être formé pour violation du droit tel qu'il est délimité par les art. 95 et 96 LTF ; il peut donc être interjeté pour violation des droits constitutionnels, qui font partie du droit fédéral au sens de l' art. 95 let. a LTF ( ATF 133 III 446 consid. 3.1 p. 447, 462 consid. 2.3 p. 466).</w:t>
      </w:r>
    </w:p>
    <w:p>
      <w:r>
        <w:rPr>
          <w:b/>
        </w:rPr>
        <w:t>E. 1.4</w:t>
      </w:r>
    </w:p>
    <w:p>
      <w:r>
        <w:t>Le Tribunal fédéral conduit son raisonnement juridique sur la base des faits établis par l'autorité précédente ( art. 105 al. 1 LTF ); il ne peut s'en écarter que si ces faits ont été établis d'une façon manifestement inexacte ou en violation du droit au sens de l' art. 95 LTF ( art. 105 al. 2 LTF ). Le recourant qui entend contester les constatations de l'autorité précédente doit expliquer de manière circonstanciée en quoi les conditions prévues par l' art. 105 al. 1 LTF sont réalisées, à défaut de quoi il n'est pas possible de tenir compte d'un état de fait qui diverge de celui contenu dans la décision attaquée ( ATF 133 II 249 consid. 1.4.3 p. 255; 133 III 462 consid. 2.4 p. 466 s.). Aucun fait nouveau ni preuve nouvelle ne peut être présenté, à moins de résulter de la décision de l'autorité précédente ( art. 99 al. 1 LTF ).</w:t>
      </w:r>
    </w:p>
    <w:p>
      <w:r>
        <w:t>En l'occurrence, la recourante se réfère aux faits retenus par l'autorité cantonale. Elle souligne néanmoins qu'elle est venue à Genève pour y rencontrer son père qui l'a abandonnée lorsqu'elle avait six ans et que la réaction de celui-ci a été inhumaine, qu'elle parle en roumain à sa fille - bien que cela lui ait été interdit par le SPMi - de sorte que les propos qu'elle lui tient ne sauraient être qualifiés d'inadéquats par des gens qui ne maîtrisent pas cette langue et, enfin, que les médecins des hôpitaux psychiatriques qui l'ont examinée estiment qu'elle ne représente aucun danger pour elle ou pour les autres; en outre, avant d'être confrontée à la situation de précarité dans laquelle elle se trouve actuellement à Genève, elle a su éduquer sa fille et créer un lien maternel véritable avec elle, les autorités roumaines ne l'ayant jamais sanctionnée à cet égard. Enfin, les interventions successives des autorités de protection de l'enfance l'auraient progressivement éloignée de l'enfant. Elle n'expose cependant pas en quoi l'exception de l' art. 105 al. 2 LTF serait réalisée quant aux faits qu'elle entend préciser ou compléter. Dès lors, il y a lieu de s'en tenir aux constatations de l'autorité cantonale.</w:t>
      </w:r>
    </w:p>
    <w:p>
      <w:r>
        <w:rPr>
          <w:b/>
        </w:rPr>
        <w:t>E. 2</w:t>
      </w:r>
    </w:p>
    <w:p>
      <w:r>
        <w:t>Dans un premier grief, la recourante soutient que la décision de réduire son droit de visite méconnaît le principe de la proportionnalité et celui de la protection de la vie familiale garanti par l' art. 8 CEDH .</w:t>
      </w:r>
    </w:p>
    <w:p>
      <w:r>
        <w:t>Comme elle ne prétend pas que la législation suisse contreviendrait à l'art. 8 § 1 CEDH , il suffit d'examiner le bien-fondé des griefs tirés de la violation du droit fédéral, en particulier de l' art. 273 al. 1 CC (cf. arrêt 5P.103/2004 du 7 juillet 2004 consid. 2.3).</w:t>
      </w:r>
    </w:p>
    <w:p>
      <w:r>
        <w:rPr>
          <w:b/>
        </w:rPr>
        <w:t>E. 2.1</w:t>
      </w:r>
    </w:p>
    <w:p>
      <w:r>
        <w:t>Selon l' art. 273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mais aussi comme un droit de la personnalité de l'enfant; il doit servir, en premier lieu, l'intérêt de celui-ci; une limitation du droit de visite n'est justifiée que s'il y a lieu d'admettre au regard des circonstances que l'octroi d'un droit de visite usuel compromet le bien de l'enfant ( ATF 131 III 209 consid. 5 p. 212 et les références citées).</w:t>
      </w:r>
    </w:p>
    <w:p>
      <w:r>
        <w:t>Pour fixer le droit aux relations personnelles, le juge fait usage de son pouvoir d'appréciation ( art. 4 CC ). Le Tribunal fédéral s'impose dès lors une certaine retenue en la matière; il n'intervient que si la décision a été prise sur la base de circonstances qui ne jouent aucun rôle selon l'esprit de la loi, ou si des aspects essentiels ont été ignorés ( ATF 131 III 209 consid. 3 p. 210; 120 II 229 consid. 4a p. 235 et l'arrêt cité; HEGNAUER, Commentaire bernois, n. 61 ad art. 273 CC ).</w:t>
      </w:r>
    </w:p>
    <w:p>
      <w:r>
        <w:rPr>
          <w:b/>
        </w:rPr>
        <w:t>E. 2.2</w:t>
      </w:r>
    </w:p>
    <w:p>
      <w:r>
        <w:t>D'après l'Autorité de surveillance des tutelles, il ressort du dossier du Tribunal tutélaire, notamment des ordonnances successivement rendues et des rapports établis tant par le SPMi que par le foyer d'accueil de l'enfant, que la mère n'a pas exercé régulièrement le droit de visite dont elle a bénéficié, grâce à la bienveillance du curateur, lors de son retour à Genève après son séjour en Roumanie. En outre, les visites sporadiques de la mère ont été ponctuées de difficultés liées à son comportement inadéquat, celle-ci ne parvenant pas à tenir compte des besoins élémentaires de la fillette au demeurant déjà très perturbée par les conditions de vie qu'elle a dû supporter par le passé. Enfin, la mère a préféré renoncer à toute relation avec sa fille, contrairement à l'intérêt manifeste de celle-ci de pouvoir la rencontrer régulièrement, plutôt que de se plier, ne fût-ce que provisoirement, aux modalités décidées par le Tribunal tutélaire. Pour les juges cantonaux, une telle attitude démontre que la mère, soit souffre de problèmes psychiques qui l'empêchent de comprendre les besoins fondamentaux d'un enfant en bas âge, soit se livre à une épreuve de force contre toute autorité qui tenterait de mettre des limites au mode de vie totalement inadéquat qu'elle cherche à imposer à l'enfant, de sorte que l'ordonnance du Tribunal tutélaire ne peut qu'être confirmée.</w:t>
      </w:r>
    </w:p>
    <w:p>
      <w:r>
        <w:rPr>
          <w:b/>
        </w:rPr>
        <w:t>E. 2.3</w:t>
      </w:r>
    </w:p>
    <w:p>
      <w:r>
        <w:t>Contrairement aux affirmations de la recourante, les modalités du droit de visite apparaissent appropriées aux circonstances et, partant, conformes à l'intérêt de l'enfant. Dans la mesure où elle affirme que la réduction du droit de visite procède d'une erreur de jugement et s'inscrit dans un processus d'éloignement qui, s'il n'est pas inversé, aboutira à l'anéantissement du lien maternel, ses affirmations ne trouvent aucun appui dans la décision déférée. Il en va de même lorsqu'elle soutient que, si sa fille apparaît perturbée par ses visites, c'est vraisemblablement parce qu'elle ne comprend pas pourquoi elle ne peut plus vivre avec elle. Pour le surplus, ses arguments, tendant essentiellement à accuser les services sociaux d'opter pour une solution de facilité au lieu de mettre en oeuvre des mesures concrètes propres à encourager le bon déroulement du droit de visite, ne sont pas de nature à faire apparaître une violation du droit fédéral.</w:t>
      </w:r>
    </w:p>
    <w:p>
      <w:r>
        <w:t>Eu égard à la marge d'appréciation dont jouit l'autorité cantonale dans ce domaine, la réglementation incriminée ne peut donc être qualifiée d'abusive.</w:t>
      </w:r>
    </w:p>
    <w:p>
      <w:r>
        <w:rPr>
          <w:b/>
        </w:rPr>
        <w:t>E. 3</w:t>
      </w:r>
    </w:p>
    <w:p>
      <w:r>
        <w:t>En conclusion, le recours se révèle mal fondé et doit par conséquent être rejeté, en tant que recevable. La recourante supportera dès lors les frais judiciaires ( art. 66 al. 1 LTF ). Il n'y a en revanche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