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5A_47/2025 vom 17. Januar 2025</w:t>
      </w:r>
    </w:p>
    <w:p>
      <w:r>
        <w:t>Bundesgericht, 2025-01-17, DE</w:t>
      </w:r>
    </w:p>
    <w:p>
      <w:r>
        <w:rPr>
          <w:b/>
        </w:rPr>
        <w:t xml:space="preserve">Quelle: </w:t>
      </w:r>
      <w:r>
        <w:t>https://mcp.opencaselaw.ch/entscheid/bger_5A_47_2025</w:t>
      </w:r>
    </w:p>
    <w:p>
      <w:r>
        <w:t>FR: TF 5A_47/2025 du 17 janvier 2025</w:t>
      </w:r>
    </w:p>
    <w:p>
      <w:r>
        <w:t>IT: TF 5A_47/2025 del 17 gennaio 2025</w:t>
      </w:r>
    </w:p>
    <w:p>
      <w:pPr>
        <w:pStyle w:val="Heading2"/>
      </w:pPr>
      <w:r>
        <w:t>Erwägungen</w:t>
      </w:r>
    </w:p>
    <w:p>
      <w:r>
        <w:rPr>
          <w:b/>
        </w:rPr>
        <w:t>E. 1</w:t>
      </w:r>
    </w:p>
    <w:p>
      <w:r>
        <w:t>Angefochten ist ein kantonal letztinstanzlicher Entscheid betreffend die Gewährung der unentgeltlichen Rechtspflege für das Rekursverfahren in einer Beistandsangelegenheit; die Beschwerde in Zivilsachen steht offen.</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 Rechtsbegehren ( Art. 42 Abs. 1 BGG ) und eine Begründung zu enthalten ( Art. 42 Abs. 2 BGG ). Bei dieser ist zu beachten, dass vorliegend kantonales Recht zur Anwendung gelangte - für das Verfahren vor der Rekurskommission gemäss Art. 11 Abs. 1 lit. a EG-KES/SG das VRPG/SG und für das Verfahren vor dem Kantonsgericht gemäss Art. 11 Abs. 1 lit. b EG-KES/SG die ZPO als subsidiäres kantonales Recht - und dass kantonales Recht nur auf Verletzung verfassungsmässiger Rechte, namentlich auf Verletzung des Willkürverbotes hin überprüft werden kann ( BGE 139 III 225 E. 2.3; 140 III 385 E. 2.3; 142 III 153 E. 2.5 ; 145 I 108 E. 4.4.1).</w:t>
      </w:r>
    </w:p>
    <w:p>
      <w:r>
        <w:rPr>
          <w:b/>
        </w:rPr>
        <w:t>E. 3</w:t>
      </w:r>
    </w:p>
    <w:p>
      <w:r>
        <w:t>Die Beschwerde scheitert bereits am fehlenden Rechtsbegehren. Sodann werden weder Verfassungsverletzungen geltend gemacht noch erfolgt überhaupt eine Bezugnahme auf die Nichteintretenserwägungen des angefochtenen Entscheides. Vielmehr wiederholt der Beschwerdeführer am möglichen Anfechtungsgegenstand vorbei seine kantonalen Vorbringen (nicht er stalke die Nachbarn, sondern diese würden ihn stalken; dieses Stalking habe zu einer unrechtmässigen Wohnungskündigung und einer fürsorgerischen Einweisung geführt; etwa 80 % der Abweisungsbegehren seien frei erfunden; er könne sich keinen Kostenvorschuss leisten; er wolle die Aufhebung der Beistandschaft).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