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5A_47/2015 vom 20. November 2015</w:t>
      </w:r>
    </w:p>
    <w:p>
      <w:r>
        <w:t>Bundesgericht, 2015-11-20, FR</w:t>
      </w:r>
    </w:p>
    <w:p>
      <w:r>
        <w:rPr>
          <w:b/>
        </w:rPr>
        <w:t xml:space="preserve">Quelle: </w:t>
      </w:r>
      <w:r>
        <w:t>https://mcp.opencaselaw.ch/entscheid/bger_5A_47_2015</w:t>
      </w:r>
    </w:p>
    <w:p>
      <w:r>
        <w:t>FR: TF 5A_47/2015 du 20 novembre 2015</w:t>
      </w:r>
    </w:p>
    <w:p>
      <w:r>
        <w:t>IT: TF 5A_47/2015 del 20 novembre 2015</w:t>
      </w:r>
    </w:p>
    <w:p>
      <w:pPr>
        <w:pStyle w:val="Heading2"/>
      </w:pPr>
      <w:r>
        <w:t>Erwägungen</w:t>
      </w:r>
    </w:p>
    <w:p>
      <w:r>
        <w:rPr>
          <w:b/>
        </w:rPr>
        <w:t>E. 1.1</w:t>
      </w:r>
    </w:p>
    <w:p>
      <w:r>
        <w:t>Le recours a été déposé dans le délai légal ( art. 100 al. 2 let. a LTF ) à l'encontre d'une décision finale ( art. 90 LTF ; ATF 135 I 187 consid. 1.2 et la jurisprudence citée) rendue en matière de poursuite pour dettes ( art. 72 al. 2 let. a LTF ) par une autorité de surveillance ayant statué sur recours en dernière instance cantonale ( art. 75 al. 1 et 2 LTF ). Il est recevable sans égard à la valeur litigieuse ( art. 74 al. 2 let . c LTF). Le poursuivi, qui a été débouté par l'autorité précédente, a qualité pour recourir ( art. 76 al. 1 LTF ).</w:t>
      </w:r>
    </w:p>
    <w:p>
      <w:r>
        <w:rPr>
          <w:b/>
        </w:rPr>
        <w:t>E. 1.2</w:t>
      </w:r>
    </w:p>
    <w:p>
      <w:r>
        <w:t>Le recourant produit des pièces qu'il qualifie lui-même de nouvelles. Celles-ci sont irrecevables ( art. 99 al. 1 LTF ).</w:t>
      </w:r>
    </w:p>
    <w:p>
      <w:r>
        <w:rPr>
          <w:b/>
        </w:rPr>
        <w:t>E. 1.3</w:t>
      </w:r>
    </w:p>
    <w:p>
      <w:r>
        <w:t>En tant que le recourant conclut à l'annulation, respectivement au constat de la nullité du séquestre du 11 août 2004, il prend une conclusion nouvelle, partant, irrecevable ( art. 99 al. 2 LTF ).</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et les citations). Cette norme impose à la partie recourante de discuter succinctement les motifs de l'acte attaqué; il suffit néanmoins que, à la lecture de l'argumentation du recours, on puisse comprendre aisément quelles règles juridiques auraient été violées par l'autorité précédente ( ATF 140 III 86 consid. 2 et 115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133 II 249 consid. 1.2.2), doit démontrer, par une argumentation précise, en quoi consiste cette violation ( art. 106 al. 2 LTF ); les critiques de nature appellatoire sont irrecevables ( ATF 133 III 585 consid. 4.1).</w:t>
      </w:r>
    </w:p>
    <w:p>
      <w:r>
        <w:t>Il en résulte que les nombreux faits décrits par le recourant, qui ne figurent pas dans l'arrêt entrepris, sans qu'il ne soit formulé de grief d'arbitraire à cet égard, ne seront tout simplement pas pris en considération.</w:t>
      </w:r>
    </w:p>
    <w:p>
      <w:r>
        <w:rPr>
          <w:b/>
        </w:rPr>
        <w:t>E. 3</w:t>
      </w:r>
    </w:p>
    <w:p>
      <w:r>
        <w:t>Le recourant cite les art. 1 ss LP , notamment 17, 36, 48 ss, 66, 93, 99 et 271 ss, les art. 1 ss LALP, notamment 10, les art. 1 ss CP , notamment 253, les art. 1 ss CC , notamment 2 al. 2 et 8, 1 ss. Cst., notamment 9, 29, 30, les art. 1 ss CEDH , notamment 6 "et toutes autres dispositions légales applicables s'il y a lieu ". Il invoque pêle-mêle la violation du principe de la bonne foi, de celui de l'égalité, de l'équité, de la légalité, et de l'interdiction de l'abus de droit, et affirme que la décision entreprise serait constitutive d'un déni de justice, violerait la loi et serait arbitraire. Il ne précise cependant pas quelle serait la portée de ces dispositions et principes en relation avec l'arrêt querellé, de sorte que ses griefs sont irrecevables, faute de motivation suffisante (cf. supra consid. 2.1).</w:t>
      </w:r>
    </w:p>
    <w:p>
      <w:r>
        <w:rPr>
          <w:b/>
        </w:rPr>
        <w:t>E. 4</w:t>
      </w:r>
    </w:p>
    <w:p>
      <w:r>
        <w:t>Le recourant expose qu'en application de la maxime d'office, la cour cantonale devait examiner si le motif invoqué dans la décision de saisie quant à la créance était fondé. Il reproche à la décision attaquée " de retenir la somme de CHF 645'180,90.- qui ne découle d'aucune procédure et excède très largement (...) celui admis par l'Arrêt (...) de la Cour de justice de Genève de CHF 425'127,88, objet du recours au Tribunal fédéral du 30 juin 2014". Ce montant ne serait certes pas mentionné par la décision, mais tout de même retenu implicitement par l'autorité de surveillance. Cela étant, le recourant omet que la question du bien-fondé de la créance relève de l'action en validation du séquestre (cf. en l'occurrence arrêt 4A_411/2014 du 14 octobre 2014), non pas de la présente procédure. Dans l'hypothèse où il entendait par là exposer que le procès-verbal de saisie serait entaché d'une irrégularité, pour le motif que la créance qui y figure ne correspondrait pas au montant ayant fait l'objet de la mainlevée définitive, on relèvera ce qui suit. D'une part, en l'espèce, la valeur des biens saisis (183'000 fr. selon l'estimation) est inférieure au montant de la créance qu'il allègue (425'127 fr. 88), de sorte que l'on ne discerne pas en quoi la saisie lui causerait un préjudice. D'autre part, contrairement à ce qui se passe en cas de défaut de spécification des droits patrimoniaux saisis ( ATF 114 III 75 consid. 1 p. 76 s.; 107 III 80 consid. 2 p. 80 et les références), une éventuelle inadvertance manifeste quant au montant de la créance indiqué dans le procès-verbal de saisie ne remet pas en cause la validité de celle-ci, puisque le procès-verbal n'a pas d'effet matériel quant à l'existence de la créance; cette erreur pourrait cependant, le cas échéant, faire l'objet d'une rectification de la part de l'Office ( art. 8 al. 3 LP ).</w:t>
      </w:r>
    </w:p>
    <w:p>
      <w:r>
        <w:t>Le recourant expose que le procès-verbal de saisie mentionne, comme créancière poursuivante, la société " C.________ S.A ", alors qu'une telle raison sociale serait inexistante, la société concernée par la procédure se nommant en réalité B.________ SA. Il affirme que ce point aurait dû être examiné d'office et entraîner l'annulation de la décision entreprise, du procès-verbal de saisie et du séquestre. A nouveau, une éventuelle erreur quant à l'orthographe du nom de la créancière est susceptible de rectification ( art. 8 al. 3 LP ), mais ne remet pas en cause la validité de la saisie.</w:t>
      </w:r>
    </w:p>
    <w:p>
      <w:r>
        <w:rPr>
          <w:b/>
        </w:rPr>
        <w:t>E. 5</w:t>
      </w:r>
    </w:p>
    <w:p>
      <w:r>
        <w:t>Le recourant se plaint de ce que les actions saisies ont été estimées à 183'000 fr., alors qu'il estime leur valeur réelle à au moins 2'666'666 fr. 66, " selon les seuls courriers et bilan 2010 fournis par Me D.________ ", de sorte que la décision entreprise, la saisie et le séquestre devraient être annulés, voire seraient purement et simplement nuls.</w:t>
      </w:r>
    </w:p>
    <w:p>
      <w:r>
        <w:t>Il n'apparaît cependant pas que le recourant ait formé une plainte à l'encontre de l'estimation, ni qu'il ait, par la voie de la plainte, requis une nouvelle estimation comme le lui permettait l' art. 9 al. 2 ORFI . Pour le surplus, l'estimation du bien saisi et le recours à un expert pour y procéder sont des questions d'appréciation (arrêt 5A_191/2014 du 16 mai 2014 consid. 6.2) soustraites à la connaissance du Tribunal fédéral, sauf abus du pouvoir d'appréciation ( ATF 136 III 636 consid. 3</w:t>
      </w:r>
    </w:p>
    <w:p>
      <w:r>
        <w:t>in fine ). Or, le recourant n'explique pas en quoi l'estimation des actions litigieuses à hauteur de 183'000 fr. relèverait d'un abus du pouvoir d'appréciation. Quoi qu'il en soit une omission d'estimer ou une erreur d'estimation n'entraîne ni l'annulation, ni la nullité de la saisie ( ATF 97 III 18 consid. 2 p. 20 s.; Bénédict Foëx, in Basler Kommentar, SchKG I, 2e éd. 2010, n° 19</w:t>
      </w:r>
    </w:p>
    <w:p>
      <w:r>
        <w:t>ad</w:t>
      </w:r>
    </w:p>
    <w:p>
      <w:r>
        <w:t>art. 97 LP ; Pierre-Robert Gilliéron, Commentaire de la loi fédérale sur la poursuite pour dettes et la faillite, vol. II, 2000, n° 7</w:t>
      </w:r>
    </w:p>
    <w:p>
      <w:r>
        <w:t>ad</w:t>
      </w:r>
    </w:p>
    <w:p>
      <w:r>
        <w:t>art. 97 LP ).</w:t>
      </w:r>
    </w:p>
    <w:p>
      <w:r>
        <w:rPr>
          <w:b/>
        </w:rPr>
        <w:t>E. 6</w:t>
      </w:r>
    </w:p>
    <w:p>
      <w:r>
        <w:t>Le recourant affirme enfin que la décision entreprise, en tant qu'elle applique l' ATF 130 III 657 et l'arrêt 5A_140/2012 du 9 mai 2012 par analogie, viole le droit puisqu'elle " supprimerait (...) le sens même de l'effet suspensif ", tel que le Tribunal fédéral l'aurait confirmé dans l' ATF 127 III 569 et dans l'arrêt 5A_866/2012 du 1er février 2013, selon lequel l'effet suspensif aurait un effet</w:t>
      </w:r>
    </w:p>
    <w:p>
      <w:r>
        <w:t>ex tunc .</w:t>
      </w:r>
    </w:p>
    <w:p>
      <w:r>
        <w:rPr>
          <w:b/>
        </w:rPr>
        <w:t>E. 6.1</w:t>
      </w:r>
    </w:p>
    <w:p>
      <w:r>
        <w:t>Se référant à la jurisprudence ( ATF 130 III 657 consid. 2.2.2, arrêt 5A_140/2012 du 9 mai 2012 consid. 2.2), la cour cantonale a considéré que la créancière, qui ne disposait pas d'un titre de mainlevée, a introduit dans le délai prévu par l' art. 279 al. 2 LP une action en reconnaissance de dette. Ses prétentions ont dans un premier temps été intégralement admises dans le cadre d'un jugement par défaut, qui n'est toutefois jamais entré en force et n'a jamais revêtu de force exécutoire, puisque le plaignant a relevé le défaut dans le délai prévu par l'ancienne loi de procédure civile genevoise. Un nouveau jugement a été rendu contradictoirement le 7 mai 2013. Susceptible d'appel, il n'est pas entré en force de chose jugée ni n'a revêtu de force exécutoire. L'arrêt sur appel rendu le 23 mai 2014, sans effet constitutif et ne pouvant donc faire l'objet d'un recours avec effet suspensif automatique ( art. 103 al. 1 LTF ), est en revanche entré en force dès sa notification aux parties le 30 mai 2014. Sous réserve de l'effet suspensif qui pouvait éventuellement être accordé par l'autorité de recours, si un recours était formé, il était à ce moment-là également exécutoire ( art. 336 al. 1 let. a CPC ). La créancière poursuivante était ainsi en droit de solliciter la continuation de la poursuite dans un délai de 20 jours à compter de la réception du jugement du 23 mai 2014, sous peine de laisser s'éteindre les effets du séquestre ( art. 279 al. 3 et 280 ch. 1 LP ). Saisi d'une réquisition de continuer la poursuite valable en la forme et accompagnée d'une décision entrée en force et exécutoire levant expressément, à hauteur d'un montant déterminé, l'opposition formée par le débiteur au commandement de payer, l'Office avait l'obligation de procéder à la saisie, ce qu'il a fait le 11 juillet 2014 en convertissant en saisie définitive le séquestre exécutée le 11 août 2004.</w:t>
      </w:r>
    </w:p>
    <w:p>
      <w:r>
        <w:t>L'octroi de l'effet suspensif au recours en matière civile, intervenu le 28 août 2014, n'entraînait pas en soi la nullité ou l'annulabilité de la réquisition de continuer la poursuite valablement déposée, ni de la saisie valablement exécutée. Il en bloquait uniquement les effets, jusqu'à l'issue de la procédure de recours. Le recours en matière civile ayant finalement été rejeté, avec pour conséquence que l'arrêt du 23 mai 2014, d'ores et déjà entré en force, était à nouveau exécutoire, ces actes sont valides.</w:t>
      </w:r>
    </w:p>
    <w:p>
      <w:r>
        <w:t>S'agissant de la communication du procès-verbal de saisie au débiteur, l'autorité de surveillance a relevé que celle-ci est intervenue après la restitution de l'effet suspensif au recours en matière civile, c'est-à-dire lors d'une période où l'arrêt du 23 mai 2014 ne permettait plus la continuation de la poursuite. Peu importe que l'Office ait eu ou non connaissance de l'ordonnance d'effet suspensif, la communication du procès-verbal était quoi qu'il en soit viciée. Cela étant, elle n'était pas nulle, et il ne se justifiait pas non plus de l'annuler, cette communication ayant une fonction essentiellement informative et faisant courir le délai de plainte contre la saisie elle-même. En l'espèce, l'annulation de cet acte ne conduirait qu'à une répétition de celui-ci, ce qui ne répondrait à aucun intérêt public ou privé, dite communication ayant bel et bien atteint son destinataire et celui-ci ayant eu la possibilité de faire valoir ses droits; il en a d'ailleurs fait usage en déposant plainte. Tout au plus faudrait-il admettre, par analogie avec la solution adoptée par la jurisprudence en relation avec les actes de poursuite accomplis pendant les féries et les temps prohibés ( ATF 127 III 174 consid. 3b), que l'acte vicié ne déploie ses effets qu'à compter de la fin de la période de suspension. En l'espèce, cela signifierait que le délai de plainte contre le procès-verbal de saisie n'aurait commencé à courir qu'à compter de la notification de l'arrêt du Tribunal fédéral du 14 octobre 2014 - le plaignant ayant déjà déposé sa plainte à cette date - et que l'office ne pouvait procéder à aucun nouvel acte de poursuite avant cette notification, ce qu'il n'a pas fait.</w:t>
      </w:r>
    </w:p>
    <w:p>
      <w:r>
        <w:t>Il en résulte que l'effet suspensif accordé le 28 août 2014 au recours en matière civile déposé dans le cadre de l'action en validation du séquestre n'entraîne ni l'invalidité de la réquisition de continuer la poursuite du 6 juin 2014, ni l'annulation de la saisie exécutée le 11 juillet 2014, ni celle de la communication du procès-verbal de saisie du 29 septembre 2014.</w:t>
      </w:r>
    </w:p>
    <w:p>
      <w:r>
        <w:rPr>
          <w:b/>
        </w:rPr>
        <w:t>E. 6.2</w:t>
      </w:r>
    </w:p>
    <w:p>
      <w:r>
        <w:t>Le raisonnement de la cour cantonale est conforme au droit fédéral, de sorte qu'il convient de s'y référer ( art. 109 al. 2 let. a et al. 3 LTF ). On soulignera que contrairement à ce que prétend le recourant, un tel raisonnement ne vide pas de sa substance l'effet suspensif qui a assorti le recours déposé dans le cadre de l'action en validation du séquestre. En effet, la saisie exécutée avait pour effet de soustraire les biens concernés au pouvoir de disposition du recourant, sans toutefois le priver de la titularité de ses droits sur eux ( art. 96 LP ; Pierre-Robert Gilliéron, Poursuite pour dettes, faillite et concordat, 5e éd. 2012, n° 1054 p. 266). L'octroi de l'effet suspensif a permis d'éviter la réalisation desdits biens jusqu'au moment où l'arrêt du Tribunal fédéral 4A_411/2014 est entré en force et est devenu exécutoire.</w:t>
      </w:r>
    </w:p>
    <w:p>
      <w:r>
        <w:rPr>
          <w:b/>
        </w:rPr>
        <w:t>E. 7</w:t>
      </w:r>
    </w:p>
    <w:p>
      <w:r>
        <w:t>En conclusion, le présent recours doit être rejeté dans la mesure de sa recevabilité. Les conclusions du recourant étaient vouées à l'échec, ce qui entraîne le rejet de sa requête d'assistance judiciaire ( art. 64 al. 1 LTF ) et sa condamnation aux frais de la procédure fédérale ( art. 66 al. 1 LTF ). Il n'y a pas lieu d'accorder de dépens à l'intimée, qui n'a pas été invitée à répondre sur le fond et qui a succombé dans ses conclusions relatives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