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478/2017 vom 7. Juni 2018</w:t>
      </w:r>
    </w:p>
    <w:p>
      <w:r>
        <w:t>Bundesgericht, 2018-06-07, FR</w:t>
      </w:r>
    </w:p>
    <w:p>
      <w:r>
        <w:rPr>
          <w:b/>
        </w:rPr>
        <w:t xml:space="preserve">Quelle: </w:t>
      </w:r>
      <w:r>
        <w:t>https://mcp.opencaselaw.ch/entscheid/bger_5A_478_2017</w:t>
      </w:r>
    </w:p>
    <w:p>
      <w:r>
        <w:t>FR: TF 5A 478/2017 du 7 juin 2018</w:t>
      </w:r>
    </w:p>
    <w:p>
      <w:r>
        <w:t>IT: TF 5A 478/2017 del 7 giugno 2018</w:t>
      </w:r>
    </w:p>
    <w:p>
      <w:pPr>
        <w:pStyle w:val="Heading2"/>
      </w:pPr>
      <w:r>
        <w:t>Regeste</w:t>
      </w:r>
    </w:p>
    <w:p>
      <w:r>
        <w:t>mesures protectrices de l'union conjugale (contribution d'entretien | Droit de la famille</w:t>
      </w:r>
    </w:p>
    <w:p>
      <w:pPr>
        <w:pStyle w:val="Heading2"/>
      </w:pPr>
      <w:r>
        <w:t>Erwägungen</w:t>
      </w:r>
    </w:p>
    <w:p>
      <w:r>
        <w:rPr>
          <w:b/>
        </w:rPr>
        <w:t>E. 1.1</w:t>
      </w:r>
    </w:p>
    <w:p>
      <w:r>
        <w:t>Déposé en temps utile ( art. 100 al. 1 LTF ) et dans les formes légales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Le point de savoir si la valeur litigieuse minimale de 30'000 fr. requise pour le recours en matière civile est atteinte peut demeurer indécis, l'incertitude quant à la valeur litigieuse restant sans conséquence. En effet, le recours en matière civile et le recours constitutionnel subsidiaire connaissent une limitation identique des griefs pouvant être invoqués contre une décision de mesures protectrices de l'union conjugale, dès lors qu'il s'agit de mesures provisionnelles au sens de l' art. 98 LTF ( ATF 134 III 667 consid. 1.1; 133 III 393 consid. 5; arrêt 5A_325/2016 du 13 septembre 2016 consid. 1). La recourante a qualité pour recourir (art. 76 al. 1, respectivement art. 115 LTF ). Le recours est donc en principe recevable.</w:t>
      </w:r>
    </w:p>
    <w:p>
      <w:r>
        <w:rPr>
          <w:b/>
        </w:rPr>
        <w:t>E. 1.2</w:t>
      </w:r>
    </w:p>
    <w:p>
      <w:r>
        <w:t>Les faits et pièces postérieurs à l'arrêt entrepris sont d'emblée irrecevables devant le Tribunal fédéral ( ATF 139 III 120 consid. 3.1.2; 133 IV 342 consid. 2.1), indépendamment de leur pertinence pour la présente cause. Il en va ainsi des Ordonnances du Tribunal de protection de l'adulte et de l'enfant des 1er décembre 2017 et 2 mars 2018 produites par l'intimé, ainsi que des nombreux faits postérieurs à l'arrêt entrepris qu'il relate dans son écriture. En outre, le fait allégué par l'intimé, selon lequel l'enfant D.________ se serait installé chez lui en janvier 2017 en raison de conflits avec la mère est aussi irrecevable, car nouveau ( art. 99 al. 1 LTF ; cf. pour le surplus ATF 133 III 393 consid. 3); il ne figure pas dans l'arrêt entrepris et son omission ne fait pas l'objet d'un grief d'arbitraire dûment motivé (cf. infra consid. 2.2).</w:t>
      </w:r>
    </w:p>
    <w:p>
      <w:r>
        <w:rPr>
          <w:b/>
        </w:rPr>
        <w:t>E. 2.1</w:t>
      </w:r>
    </w:p>
    <w:p>
      <w:r>
        <w:t>Dès lors que la décision attaquée porte sur le prononcé de mesures protectrices de l'union conjugale (art. 172 à 179 CC), lesquelles sont considérées comme des mesures provisionnelles au sens de l' art. 98 LTF ( ATF 134 III 667 consid. 1.1; 133 III 393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141 I 36 consid. 1.3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136 II 489 consid. 2.8 et les références).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w:t>
      </w:r>
    </w:p>
    <w:p>
      <w:r>
        <w:rPr>
          <w:b/>
        </w:rPr>
        <w:t>E. 3</w:t>
      </w:r>
    </w:p>
    <w:p>
      <w:r>
        <w:t>Contrairement à l'autorité de première instance, qui avait attribué la garde des deux enfants à leur père, la Cour de justice a décidé d'attribuer la garde de D.________ à la mère et celle de C.________ au père. Elle a considéré qu'en conséquence, il se justifiait de fixer une contribution d'entretien en faveur de D.________ et, " cas échéant ", en faveur de l'épouse. L'autorité cantonale a constaté que, dans leur accord du 12 décembre 2016, les parents avaient fixé la contribution mensuelle à l'entretien des enfants à 2'500 fr. chacun et celle destinée à l'entretien de l'épouse à 10'000 fr. Le mari avait expliqué que cet accord avait été mis à néant par le comportement à nouveau hostile de son épouse et sa prise en charge de l'enfant C.________ à la suite des événements intervenus le 22 janvier dernier. Pour l'épouse, au vu des récents événements, la situation n'était plus claire entre elle et son époux, l'accord ne tenant plus que s'agissant des questions financières. Considérant que l'époux ne remettait pas en cause sa capacité à subvenir dans cette mesure aux besoins de sa famille et que l'épouse ne contestait pas les termes de l'accord sur ce point, la Cour de justice a retenu, en substance, que ces montants - à savoir 2'500 fr. par mois pour chacun des enfants et 10'000 fr. par mois pour l'épouse - permettaient de subvenir convenablement à l'entretien de la famille. Se fondant sur ce qui précède, la juridiction précédente a réformé le premier jugement, notamment en ce sens que la contribution d'entretien en faveur de l'épouse est arrêtée à 10'000 fr. par mois à compter du 9 septembre 2015.</w:t>
      </w:r>
    </w:p>
    <w:p>
      <w:r>
        <w:rPr>
          <w:b/>
        </w:rPr>
        <w:t>E. 4</w:t>
      </w:r>
    </w:p>
    <w:p>
      <w:r>
        <w:t>La recourante fait valoir que l' art. 58 al. 1 CPC a été appliqué de manière arbitraire, au sens de l' art. 9 Cst. Elle expose que la contribution d'entretien en sa faveur, fixée par le premier juge à 15'000 fr. par mois, ne pouvait pas être modifiée par l'autorité d'appel puisqu'elle n'était pas contestée. En effet, son époux avait retiré l'appel qu'il avait formé à l'encontre du jugement de première instance. Or, en vertu du principe de disposition régissant la contribution d'entretien due entre conjoints, la Cour de justice était liée par les conclusions des parties.</w:t>
      </w:r>
    </w:p>
    <w:p>
      <w:r>
        <w:rPr>
          <w:b/>
        </w:rPr>
        <w:t>E. 5</w:t>
      </w:r>
    </w:p>
    <w:p>
      <w:r>
        <w:t>Il ressort de l'arrêt attaqué ( art. 105 al. 1 LTF ; ATF 140 III 16 consid. 1.3.1) que l'époux a retiré son appel par courrier du 25 novembre 2016, constatation de fait dont l'intimé ne prétend pas, ni a fortiori ne démontre, qu'elle serait arbitraire (cf. supra consid. 2.2). Or, selon la jurisprudence, le retrait d'un moyen de droit est irrévocable, et sa validité ne peut être remise en cause que s'il est affecté d'un vice de la volonté ( ATF 111 V 156 consid. 3a; 109 V 234 consid. 3; arrêts 6B_847/2015 du 13 juin 2016 consid. 2; 9C_463/2010 du 24 juin 2010 consid. 1.3; PETER REETZ, in Kommentar zum Schweizerischen Zivilprozessordnung, Sutter-Somm/Hasenböhler [éd.], 3e éd. 2016, n° 39 ad rem. prél. art. 308-318 CPC , p. 2334). Il en résulte que, dans la mesure où seul l'époux avait remis en cause en instance cantonale le montant de la contribution destinée à l'entretien de l'épouse fixé en première instance (cf. supra let. B.a), ce point n'était plus litigieux à compter du retrait - irrévocable - de son appel. Dans de telles circonstances, la Cour de justice ne pouvait revoir la contribution d'entretien de l'épouse fixée par le premier juge à 15'000 fr. par mois, sous peine d'arbitraire. L'intimé soutient que, dès lors que la Cour de justice avait modifié l'attribution de la garde des enfants, elle pouvait revoir l'ensemble de la situation, y compris la contribution d'entretien en faveur de son épouse. Son argumentation trahit une méconnaissance de la jurisprudence. Il est vrai que, lorsque seule la contribution du conjoint est remise en cause en appel, le juge peut fixer à nouveau tant la contribution due au conjoint que celles dues aux enfants et ce même en l'absence de conclusions quant à celles-ci. Cependant, l'inverse n'est pas possible, car la contribution d'entretien due par un conjoint à l'autre est soumise au principe de disposition, conformément à l' art. 58 al. 1 CPC ( ATF 129 III 417 consid. 2.1.1; 128 III 411 consid. 3.2.2 in fine; arrêts 5A_524/2017 du 9 octobre 2017 consid. 3.1; 5A_132/2014 du 20 juin 2014 consid. 3.1.3; 5A_906/2012 du 18 avril 2013 consid. 6.2.2; 5A_361/2011 du 7 décembre 2011 consid. 5.3.3 publié in FamPra.ch 2012 p. 447). Ces considérations scellent le sort du présent recours, sans qu'il n'y ait lieu de se prononcer sur la validité de la convention conclue par les époux postérieurement au jugement de première instance (à ce sujet, cf. notamment arrêt 5A_945/2016 19 mai 2017 consid. 4.3.1).</w:t>
      </w:r>
    </w:p>
    <w:p>
      <w:r>
        <w:rPr>
          <w:b/>
        </w:rPr>
        <w:t>E. 6</w:t>
      </w:r>
    </w:p>
    <w:p>
      <w:r>
        <w:t>En conclusion, le recours est admis et l'arrêt attaqué est annulé en ce qui concerne la contribution d'entretien en faveur de l'épouse. Les frais judiciaires sont mis à la charge de l'intimé, qui succombe ( art. 66 al. 1 LTF ). Celui-ci versera en outre à la recourante une indemnité de dépens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