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5A_478/2014 vom 15. Juli 2014</w:t>
      </w:r>
    </w:p>
    <w:p>
      <w:r>
        <w:t>Bundesgericht, 2014-07-15, DE</w:t>
      </w:r>
    </w:p>
    <w:p>
      <w:r>
        <w:rPr>
          <w:b/>
        </w:rPr>
        <w:t xml:space="preserve">Quelle: </w:t>
      </w:r>
      <w:r>
        <w:t>https://mcp.opencaselaw.ch/entscheid/bger_5A_478_2014</w:t>
      </w:r>
    </w:p>
    <w:p>
      <w:r>
        <w:t>FR: TF 5A_478/2014 du 15 juillet 2014</w:t>
      </w:r>
    </w:p>
    <w:p>
      <w:r>
        <w:t>IT: TF 5A_478/2014 del 15 luglio 2014</w:t>
      </w:r>
    </w:p>
    <w:p>
      <w:pPr>
        <w:pStyle w:val="Heading2"/>
      </w:pPr>
      <w:r>
        <w:t>Erwägungen</w:t>
      </w:r>
    </w:p>
    <w:p>
      <w:r>
        <w:rPr>
          <w:b/>
        </w:rPr>
        <w:t>E. 1</w:t>
      </w:r>
    </w:p>
    <w:p>
      <w:r>
        <w:t>In den Verfahren 5A_478/2014 und 5A_479/2014 steht die gleiche Rechtsfrage im Vordergrund; einzig der Anlass ist nicht derselbe. In beiden Verfahren sind die gleichen Parteien beteiligt und der Beschwerdeführer hat in beiden Verfahren identische Rechtsschriften eingereicht. Die Beschwerdeverfahren sind daher zu vereinigen und in einem Urteil zu behandeln ( Art. 71 BGG i.V.m. Art. 24 BZP ).</w:t>
      </w:r>
    </w:p>
    <w:p>
      <w:r>
        <w:rPr>
          <w:b/>
        </w:rPr>
        <w:t>E. 2.1</w:t>
      </w:r>
    </w:p>
    <w:p>
      <w:r>
        <w:t>Nach Art. 450 Abs. 1 ZGB kann gegen Entscheide der Erwachsenenschutzbehörde Beschwerde beim zuständigen Gericht erhoben werden. Im Kanton St. Gallen ist das Beschwerdeverfahren zweistufig ausgestaltet: Gemäss Art. 27 Abs. 1 des kantonalen Einführungsgesetzes zur Bundesgesetzgebung über das Kindes- und Erwachsenenschutzrecht vom 24. April 2012 (912.5; EG KES) beurteilt die Verwaltungsrekurskommission Beschwerden gegen Verfügungen der Kindes- und Erwachsenenschutzbehörde. Art. 28 Abs. 1 dieses Gesetzes entsprechend behandelt das Kantonsgericht Beschwerden gegen Entscheide der Verwaltungsrekurskommission im Kindes- und Erwachsenenschutzrecht.</w:t>
      </w:r>
    </w:p>
    <w:p>
      <w:r>
        <w:rPr>
          <w:b/>
        </w:rPr>
        <w:t>E. 2.2</w:t>
      </w:r>
    </w:p>
    <w:p>
      <w:r>
        <w:t>Die in den Art. 450 bis Art. 450e ZGB enthaltenen Verfahrensvorschriften gelten nicht für das von den Kantonen eingeführte zweitinstanzliche Beschwerdeverfahren. Dieses untersteht mangels ausdrücklicher bundesrechtlicher Regelung dem kantonalen Recht (Urteil 5A_327/2013 vom 17. Juli 2013 E. 3.2). Da Art. 11 EG-KES des Kantons St. Gallen keine Bestimmung für das zweitinstanzliche Beschwerdeverfahren enthält, wendet das Kantonsgericht St. Gallen sinngemäss die Bestimmungen der ZPO, insbesondere jene zur Berufung ( Art. 308 ff. ZPO ) an. Nach Auffassung des Kantonsgerichts ist die Beschwerde in sachgemässer Auslegung von Art. 311 ZPO zu begründen. Der Beschwerdeführer hat demnach aufzuzeigen, inwiefern der angefochtene Entscheid als fehlerhaft erachtet wird. Die Begründung muss hinreichend genau und eindeutig sein, um von der Berufungsinstanz mühelos verstanden zu werden (Urteil 4A_651/2012 E. 4.2). Fehlt es an einer rechtsgenügenden Begründung, ist auf die Beschwerde nicht einzutreten. Die gestützt auf die ZPO vertretene Auffassung des Kantonsgerichts, die Beschwerde an die obere Beschwerdeinstanz sei zu begründen, verletzt kein Bundesrecht (Urteil 5A_327/2013 vom 17. Juli 2013 E. 3.2).</w:t>
      </w:r>
    </w:p>
    <w:p>
      <w:r>
        <w:rPr>
          <w:b/>
        </w:rPr>
        <w:t>E. 3</w:t>
      </w:r>
    </w:p>
    <w:p>
      <w:r>
        <w:t>Das Kantonsgericht hat die Eingaben des Beschwerdeführers als nicht den beschriebenen Begründungsanforderungen entsprechend betrachtet und ist daher auf die Beschwerden nicht eingetreten. Im Weiteren hat es auch den Gesuchen des Beschwerdeführers, ihm im Beschwerdeverfahren einen Anwalt zu bestellen, nicht entsprochen, da er bereits im Schreiben vom 9. April 2014 darauf aufmerksam gemacht worden sei, die Bestellung eines Anwalts obliege ihm und nicht dem Gericht. Gegenstand des vorliegenden Verfahrens ist ausschliesslich die Frage, ob das Kantonsgericht dem Beschwerdeführer einen Vertreter für die Beschwerdeverfahren hätte bestimmen müssen. Ob dies bereits der Verwaltungsrekurskommission für das erstinstanzliche Beschwerdeverfahren oblegen hätte, wird im angefochtenen Entscheid nicht behandelt und ist daher auch nicht Gegenstand des vorliegenden Verfahrens.</w:t>
      </w:r>
    </w:p>
    <w:p>
      <w:r>
        <w:rPr>
          <w:b/>
        </w:rPr>
        <w:t>E. 4.1</w:t>
      </w:r>
    </w:p>
    <w:p>
      <w:r>
        <w:t>Der Beschwerdeführer macht im Wesentlichen geltend, das Kantonsgericht hätte ihm gestützt auf Art. 69 Abs. 1 ZPO bzw. Art. 449a ZGB einen Anwalt bzw. einen Vertreter bestellen müssen, da er aufgrund seiner Krankheit und der fehlenden Sprachkenntnisse nicht in der Lage sei, eine den Begründungsanforderungen entsprechende Beschwerde zu verfassen. In die falsche Richtung gehe der Hinweis, der Beistand hätte sich um die Bestellung des Anwalts kümmern können, werde doch dabei der Interessenkonflikt übersehen, der im Umstand begründet sei, dass der Beistand die fürsorgerische Unterbringung in die Wege geleitet habe.</w:t>
      </w:r>
    </w:p>
    <w:p>
      <w:r>
        <w:rPr>
          <w:b/>
        </w:rPr>
        <w:t>E. 4.2</w:t>
      </w:r>
    </w:p>
    <w:p>
      <w:r>
        <w:t>Der Beschwerdeführer hat persönlich oder mit Hilfe seines Beistandes einen Anwalt für beide Beschwerdeverfahren vor Bundesgericht (5A_478/2014 und 5A_479/2014) mandatiert. Warum er dies weder persönlich noch mit Hilfe seines Beistandes für beide Verfahren vor Kantonsgericht hätte tun können, wird nicht rechtsgenügend erörtert. Unter diesen Umständen lässt sich nicht vertreten, er sei ausserstande gewesen, selbst für eine Vertretung seiner Interessen zu sorgen und einen Anwalt mit der Abfassung der Beschwerden an das Kantonsgericht zu beauftragen. Im Lichte dieser Ausführungen verletzen die angefochtenen Entscheide jedenfalls im Ergebnis kein Bundesrecht. Unter diesen Umständen kann offenbleiben, ob der Verweis des Kantonsgerichts auf den Aufgabebereich des Beistands des Beschwerdeführers wegen des angeblich bestehenden Interessenkonflikts Bundesrecht verletzt.</w:t>
      </w:r>
    </w:p>
    <w:p>
      <w:r>
        <w:rPr>
          <w:b/>
        </w:rPr>
        <w:t>E. 5</w:t>
      </w:r>
    </w:p>
    <w:p>
      <w:r>
        <w:t>Damit sind die Beschwerden abzuweisen. Den Umständen des konkreten Falles entsprechend werden keine Kosten erhoben ( Art. 66 Abs. 1 BGG ).</w:t>
      </w:r>
    </w:p>
    <w:p>
      <w:r>
        <w:rPr>
          <w:b/>
        </w:rPr>
        <w:t>E. 6</w:t>
      </w:r>
    </w:p>
    <w:p>
      <w:r>
        <w:t>Nach dem Gesagten haben sich die Beschwerden als von Anfang an aussichtslos erwiesen. Fehlt somit eine der kumulativen Voraussetzungen (nicht aussichtsloses Verfahren), sind die Gesuche des Beschwerdeführers um unentgeltliche Rechtspflege abzuweisen ( Art. 64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