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478/2012 vom 14. August 2012</w:t>
      </w:r>
    </w:p>
    <w:p>
      <w:r>
        <w:t>Bundesgericht, 2012-08-14, FR</w:t>
      </w:r>
    </w:p>
    <w:p>
      <w:r>
        <w:rPr>
          <w:b/>
        </w:rPr>
        <w:t xml:space="preserve">Quelle: </w:t>
      </w:r>
      <w:r>
        <w:t>https://mcp.opencaselaw.ch/entscheid/bger_5A_478_2012</w:t>
      </w:r>
    </w:p>
    <w:p>
      <w:r>
        <w:t>FR: TF 5A 478/2012 du 14 août 2012</w:t>
      </w:r>
    </w:p>
    <w:p>
      <w:r>
        <w:t>IT: TF 5A 478/2012 del 14 agosto 2012</w:t>
      </w:r>
    </w:p>
    <w:p>
      <w:pPr>
        <w:pStyle w:val="Heading2"/>
      </w:pPr>
      <w:r>
        <w:t>Regeste</w:t>
      </w:r>
    </w:p>
    <w:p>
      <w:r>
        <w:t>fixation du mode de réalisation | Droit des poursuites et faillites</w:t>
      </w:r>
    </w:p>
    <w:p>
      <w:pPr>
        <w:pStyle w:val="Heading2"/>
      </w:pPr>
      <w:r>
        <w:t>Erwägungen</w:t>
      </w:r>
    </w:p>
    <w:p>
      <w:r>
        <w:rPr>
          <w:b/>
        </w:rPr>
        <w:t>E. 1</w:t>
      </w:r>
    </w:p>
    <w:p>
      <w:r>
        <w:t>Interjeté dans le délai ( art. 100 al. 2 let. a LTF ) prévu par la loi par des recourants qui ont pris part à la procédure devant l'autorité précédente ( art. 76 al. 1 let. a LTF ) et dirigé contre une décision finale ( art. 90 LTF ) rendue en matière de poursuite pour dettes et de faillite ( art. 72 al. 2 let. a LTF ) par une autorité cantonale de surveillance de dernière (unique) instance ( art. 75 al. 1 LTF ), le recours est recevable au regard de ces dispositions, et ce indépendamment de la valeur litigieuse ( art. 74 al. 2 let . c LTF).</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(arrêt 5A_129/2007 du 28 juin 2007 consid. 1.4; ATF 121 III 397 consid. 2a). En outre, le Tribunal fédéral ne connaît de la violation des droits fondamentaux ou du droit cantonal que si ce grief a été soulevé et motivé ( art. 106 al. 2 LTF ; ATF 134 I 83 consid. 3.2 ;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Les recourants reprochent à l'autorité cantonale de s'être fondée sur un état de fait incomplet et d'avoir violé l' art. 92 al. 2 LP en écartant la proposition du débiteur et en ordonnant la dissolution de la communauté héréditaire.</w:t>
      </w:r>
    </w:p>
    <w:p>
      <w:r>
        <w:rPr>
          <w:b/>
        </w:rPr>
        <w:t>E. 3.1</w:t>
      </w:r>
    </w:p>
    <w:p>
      <w:r>
        <w:t>Lorsqu'il s'agit de réaliser une part de communauté, il appartient à l'autorité de surveillance de fixer le mode de réalisation ( art. 132 al. 1 LP ). Après avoir consulté les intéressés, l'autorité peut ordonner la vente aux enchères, confier la réalisation à un gérant ou prendre toute autre mesure ( art. 132 al. 3 LP ). L'ordonnance du Tribunal fédéral du 17 janvier 1923 concernant la saisie et la réalisation de parts de communauté (OPC, RS 281.41) prévoit toutefois des mesures plus précises qui restreignent le pouvoir attribué à l'autorité de surveillance par l' art. 132 al. 3 LP ( ATF 135 III 179 consid. 2.1; 96 III 10 consid. 2). Celle-ci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 art. 10 al. 2 OPC ). Dans la règle, la vente aux enchères ne doit être ordonnée que si la valeur de la part saisie peut être déterminée approximativement au moyen des renseignements obtenus lors de la saisie ou au cours des pourparlers amiables ( art. 10 al. 3 OPC ). La dissolution et le partage doivent être préférés lorsque la réalisation de la part de communauté risque de se faire à vil prix ( ATF 135 III 179 consid. 2.4; GILLIÉRON, Commentaire de la LP, 2000, n°s 32 et 34 ad art. 132 LP ). Le choix entre les deux modes de réalisation relève de l'opportunité ( ATF 135 III 179 consid. 2.1, 96 III 10 consid. 2). Le Tribunal fédéral n'intervient que si l'autorité cantonale a excédé les limites de son pouvoir d'appréciation, c'est-à-dire notamment si l'autorité cantonale a retenu des critères inappropriés ou encore lorsqu'elle néglige des circonstances pertinentes ou lorsqu'elle ne tient pas compte du but de protection des dispositions précitées ( ATF 135 III 179 consid. 2.1 et les référence citées).</w:t>
      </w:r>
    </w:p>
    <w:p>
      <w:r>
        <w:rPr>
          <w:b/>
        </w:rPr>
        <w:t>E. 3.2</w:t>
      </w:r>
    </w:p>
    <w:p>
      <w:r>
        <w:t>En substance, la cour cantonale a estimé que la tentative d'amener les intéressés à s'entendre à l'amiable s'était soldée par un échec et que, même si la valeur de la part saisie pouvait être déterminée approximativement, une vente aux enchères de cette part était économiquement moins favorable au débiteur et aux créanciers qu'un partage. Aussi, elle a ordonné la dissolution de la communauté héréditaire et la liquidation de son patrimoine.</w:t>
      </w:r>
    </w:p>
    <w:p>
      <w:r>
        <w:rPr>
          <w:b/>
        </w:rPr>
        <w:t>E. 3.3</w:t>
      </w:r>
    </w:p>
    <w:p>
      <w:r>
        <w:t>La seule critique émise par les recourants consiste à reprocher à l'autorité de surveillance d'avoir tenu compte de la valeur d'estimation brute des immeubles, sans déduction de l'endettement. Ils préconisent la prise en compte de leur valeur nette, à savoir 281'700 fr., et considèrent donc que la proposition de 11'000 fr. faite par le débiteur correspond à la valeur réelle de sa part de liquidation. Invoquant une violation de l' art. 92 al. 2 LP , disposition en vertu de laquelle ne sont pas saisissables les objets pour lesquels il y a lieu d'admettre d'emblée que le produit de leur réalisation excéderait de si peu le montant des frais que leur saisie ne se justifie pas, les recourants font valoir que le recouvrement de la valeur de la part du débiteur en liquidant la communauté ne justifiait pas les frais nécessaires à cette liquidation.</w:t>
      </w:r>
    </w:p>
    <w:p>
      <w:r>
        <w:rPr>
          <w:b/>
        </w:rPr>
        <w:t>E. 3.4</w:t>
      </w:r>
    </w:p>
    <w:p>
      <w:r>
        <w:t>Cette critique est irrecevable pour cause de tardiveté. Au stade de la fixation du mode de réalisation de la part de communauté saisie, l'autorité de surveillance doit seulement décider s'il y a lieu de procéder à la dissolution de la communauté et à la liquidation du patrimoine commun ou s'il faut ordonner une vente aux enchères de la part saisie. Elle ne doit en revanche pas réexaminer la décision de saisir ou non la part de communauté du débiteur, décision qui a été prise bien avant que l'office n'organise la séance de conciliation du 28 mars 2012 et contre laquelle une éventuelle violation de l' art. 92 al. 2 LP aurait dû être soulevée par la voie de la plainte dans les dix jours dès réception du procès-verbal de saisie. Le débiteur n'est dès lors plus habilité à faire valoir ce grief au stade de la fixation du mode réalisation. Au demeurant, il n'appartenait pas en l'espèce à l'autorité de surveillance de se prononcer sur le montant de la part de communauté dans le cadre du partage de la succession, mais uniquement de déterminer le mode de réalisation selon l' art. 132 LP ( ATF 130 III 652 consid. 2.2.2; 113 III 40 consid. 3b). En tant que cette critique est formée par les cohéritières du débiteur, elle est irrecevable, outre le fait qu'elle soit tardive, également pour le motif qu'elles n'ont pas la qualité pour recourir ( art. 76 al. 1 LTF ). En effet, elles ne sont nullement lésées par la décision de saisir la part de communauté du débiteur quelle que soit la valeur de celle-ci et ne sont dès lors pas habilitées à se plaindre d'une violation de l' art. 92 al. 2 LP . Pour le reste, les recourants ne s'en prennent pas au choix de l'autorité cantonale d'ordonner la dissolution de la communauté héréditaire et la liquidation de son patrimoine plutôt que la vente aux enchères de la part de communauté du débiteur. Par conséquent, leurs écritures, faute de contenir de motivation satisfaisant aux exigences en la matière (cf. consid. 2.1 supra), sont également irrecevables sous cet angle.</w:t>
      </w:r>
    </w:p>
    <w:p>
      <w:r>
        <w:rPr>
          <w:b/>
        </w:rPr>
        <w:t>E. 4</w:t>
      </w:r>
    </w:p>
    <w:p>
      <w:r>
        <w:t>En définitive, le recours est irrecevable. Les frais judiciaires, arrêtés à 2'000 fr., sont mis solidairement à la charge des recourants qui succombent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