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477/2021 vom 18. November 2021</w:t>
      </w:r>
    </w:p>
    <w:p>
      <w:r>
        <w:t>Bundesgericht, 2021-11-18, DE</w:t>
      </w:r>
    </w:p>
    <w:p>
      <w:r>
        <w:rPr>
          <w:b/>
        </w:rPr>
        <w:t xml:space="preserve">Quelle: </w:t>
      </w:r>
      <w:r>
        <w:t>https://mcp.opencaselaw.ch/entscheid/bger_5A_477_2021</w:t>
      </w:r>
    </w:p>
    <w:p>
      <w:r>
        <w:t>FR: TF 5A 477/2021 du 18 novembre 2021</w:t>
      </w:r>
    </w:p>
    <w:p>
      <w:r>
        <w:t>IT: TF 5A 477/2021 del 18 novembre 2021</w:t>
      </w:r>
    </w:p>
    <w:p>
      <w:pPr>
        <w:pStyle w:val="Heading2"/>
      </w:pPr>
      <w:r>
        <w:t>Regeste</w:t>
      </w:r>
    </w:p>
    <w:p>
      <w:r>
        <w:t>Schlussbericht/Schlussrechnung | Familienrecht</w:t>
      </w:r>
    </w:p>
    <w:p>
      <w:pPr>
        <w:pStyle w:val="Heading2"/>
      </w:pPr>
      <w:r>
        <w:t>Erwägungen</w:t>
      </w:r>
    </w:p>
    <w:p>
      <w:r>
        <w:rPr>
          <w:b/>
        </w:rPr>
        <w:t>E. 1</w:t>
      </w:r>
    </w:p>
    <w:p>
      <w:r>
        <w:t>Fristgerecht ( Art. 100 Abs. 1 BGG ) angefochten ist der Endentscheid ( Art. 90 BGG ) eines oberen kantonalen Gerichts, das als Rechtsmittelinstanz ( Art. 75 BGG ) über die Entbindung von der Pflicht zur Einreichung eines Schlussberichts und der Schlussrechnung eines aus der Berufsbeistandschaft ausgeschiedenen Beistands entschieden hat. Dabei handelt es sich um eine öffentlich-rechtliche Angelegenheit in unmittelbarem Zusammenhang mit Zivilrecht (Art. 72 Abs. 2 lit. b Ziff. 6 BGG), die zumindest teilweise nicht vermögensrechtlicher Natur ist (Urteile 5A_482/2020 vom 14. September 2020 E. 1.1; 5A_409/2016 vom 24. März 2017 E. 1.2, betreffend Genehmigung von Schlussbericht und Schlussrechnung; je mit Hinweis). Die Beschwerdeführerin ist gemäss Art. 76 Abs. 1 BGG zur Beschwerde berechtigt.</w:t>
      </w:r>
    </w:p>
    <w:p>
      <w:r>
        <w:rPr>
          <w:b/>
        </w:rPr>
        <w:t>E. 2</w:t>
      </w:r>
    </w:p>
    <w:p>
      <w:r>
        <w:t>Die Beschwerde gegen einen Entscheid ist mit vollständiger Begründung innert 30 Tagen beim Bundesgericht einzureichen (Art. 100 Abs. 1 i.V.m. Art. 42 Abs. 1 BGG ). Daraus folgt, dass die zur Begründung der Beschwerde an das Bundesgericht notwendige Einsicht in die Vorakten grundsätzlich innert der Beschwerdefrist bei der Vorinstanz zu beantragen ist und dass ein erst vor Bundesgericht gestelltes Gesuch um Akteneinsicht die Beschwerdeführerin - hier nicht zutreffende Ausnahmefälle vorbehalten - nicht dazu berechtigt, ihre Beschwerdeschrift nach Ablauf der Beschwerdefrist zu ergänzen. Da sie ihre Beschwerde erst am letzten Tag der Beschwerdefrist der Post übergeben hat, ist die Möglichkeit somit entfallen, dem Bundesgericht weitere Vorbringen rechtzeitig zu unterbreiten. Ihrem Antrag, ihr die vorinstanzlichen Akten zur Einsichtnahme zuzustellen, wird deshalb nicht entsprochen (Urteil 9C_215/2020 vom 28. Mai 2021 E. 1.2 und E. 1.3, nicht publ. in: BGE 147 V 312 ).</w:t>
      </w:r>
    </w:p>
    <w:p>
      <w:r>
        <w:rPr>
          <w:b/>
        </w:rPr>
        <w:t>E. 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Erhöhte Anforderungen gelten, wenn Grundrechte als verletzt gerügt werden; hierfür gilt das strenge Rügeprinzip ( Art. 106 Abs. 2 BGG ). Auf eine nicht hinreichend begründete Beschwerde tritt das Bundesgericht nicht ein ( BGE 140 III 115 E. 2; seither z.B. Urteil 5A_874/2020 vom 22. Juni 2021 E. 2.1). Die Beschwerdeführerin führt nicht aus, inwieweit das Kantonsgericht auf die Aspekte hätte eintreten müssen, auf die es nicht eingetreten ist. Soweit sich die Beschwerde auf solche Aspekte bezieht (z.B. Antrag von F.________ vom 29. Juni 2020 zur Genehmigung des Mandatsführungsberichts vom 1. April 2018 bis 31. März 2020), kann deshalb nicht auf sie eingetreten werden. Nicht eingetreten werden kann auf die Beschwerde ferner insoweit, als die Beschwerdeführerin das Verfahren vor der KESB bemängelt. Denn inwiefern das Kantonsgericht diesbezüglich Recht verletzt hätte, wird nicht dargelegt. Die Beschwerdeführerin beschränkt sich auch in materieller Hinsicht praktisch ausschliesslich darauf, die Sach- und Rechtslage aus ihrer Sicht und ohne erkennbaren Bezug auf den Entscheid des Kantonsgerichts darzustellen. Die einzige Rüge, die sie in Auseinandersetzung mit den Erwägungen des angefochtenen Entscheids vorbringt, besteht darin, dass das Kantonsgericht die Funktion des Schlussberichts verkannt und damit Art. 425 ZGB verletzt habe. Nur auf diese Rüge ist folglich einzutreten.</w:t>
      </w:r>
    </w:p>
    <w:p>
      <w:r>
        <w:rPr>
          <w:b/>
        </w:rPr>
        <w:t>E. 4.1.1</w:t>
      </w:r>
    </w:p>
    <w:p>
      <w:r>
        <w:t>Gemäss Art. 410 ZGB führt der Beistand oder die Beiständin Rechnung und legt diese der Erwachsenenschutzbehörde in den von ihr angesetzten Zeitabständen, mindestens aber alle zwei Jahre, zur Genehmigung vor (Abs. 1). Der Beistand oder die Beiständin erläutert der betroffenen Person die Rechnung und gibt ihr auf Verlangen eine Kopie (Abs. 2). Weiter hat der Beistand oder die Beiständin nach Art. 411 ZGB der Erwachsenenschutzbehörde so oft wie nötig, mindestens aber alle zwei Jahre, einen Bericht über die Lage der betroffenen Person und die Ausübung der Beistandschaft zu erstatten (Abs. 1). Der Beistand oder die Beiständin zieht bei der Erstellung des Berichts die betroffene Person, soweit tunlich, bei und gibt ihr auf Verlangen eine Kopie (Abs. 2). Die Erwachsenenschutzbehörde prüft gemäss Art. 415 ZGB die Rechnung und erteilt oder verweigert die Genehmigung; wenn nötig, verlangt sie eine Berichtigung (Abs. 1). Sie prüft den Bericht und verlangt, wenn nötig, dessen Ergänzung (Abs. 2). Sie trifft nötigenfalls Massnahmen, die zur Wahrung der Interessen der betroffenen Person angezeigt sind (Abs. 3; vgl. zum Ganzen Urteil 5A_482/2020 vom 14. September 2020 E. 4.1).</w:t>
      </w:r>
    </w:p>
    <w:p>
      <w:r>
        <w:rPr>
          <w:b/>
        </w:rPr>
        <w:t>E. 4.1.2</w:t>
      </w:r>
    </w:p>
    <w:p>
      <w:r>
        <w:t>Endet das Amt, so erstattet der Beistand oder die Beiständin der Erwachsenenschutzbehörde den Schlussbericht und reicht gegebenenfalls die Schlussrechnung ein ( Art. 425 Abs. 1 Satz 1 ZGB ). Die Erwachsenenschutzbehörde prüft und genehmigt den Schlussbericht und die Schlussrechnung auf die gleiche Weise wie die periodischen Berichte und Rechnungen ( Art. 425 Abs. 2 ZGB ). Die Erwachsenenschutzbehörde kann den Berufsbeistand oder die Berufsbeiständin von dieser Pflicht entbinden, wenn das Arbeitsverhältnis endet ( Art. 425 Abs. 1 Satz 2 ZGB ; vgl. zit. Urteil 5A_482/2020 E. 4.2).</w:t>
      </w:r>
    </w:p>
    <w:p>
      <w:r>
        <w:rPr>
          <w:b/>
        </w:rPr>
        <w:t>E. 4.1.3</w:t>
      </w:r>
    </w:p>
    <w:p>
      <w:r>
        <w:t>Zu beachten ist in diesem Zusammenhang, dass sich das Bundesgericht bezüglich der Rechtsfolgen Zurückhaltung auferlegt, wenn es um das Überprüfen von Ermessensentscheiden geht.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136 III 278 E. 2.2.1; 135 III 121 E. 2; 133 III 201 E. 5.4; je mit Hinweisen; seither z.B. Urteil 5A_456/2017 vom 1. März 2018 E. 3.3).</w:t>
      </w:r>
    </w:p>
    <w:p>
      <w:r>
        <w:rPr>
          <w:b/>
        </w:rPr>
        <w:t>E. 4.2</w:t>
      </w:r>
    </w:p>
    <w:p>
      <w:r>
        <w:t>Die Beschwerdeführerin beanstandet, das Kantonsgericht gehe fälschlicherweise davon aus, dass der Schlussbericht keine Steuerungsfunktion habe, sondern alleine dem Informationszweck diene. Es übersehe dabei, dass die angeordnete Erziehungsbeistandschaft weder dahingefallen noch aufgehoben worden sei. Gerade in einem Hochkonfliktfall sei es wichtig, dass die neue Amtsträgerin Einblick in die bisherige Arbeitsweise und die Aktionsfelder erhalte. Dem Schlussbericht komme dieselbe Funktion zu wie einem Rechenschaftsbericht. Im vorliegenden Fall hätte der Schlussbericht umso sorgfältiger ausfallen müssen, um sicherzustellen, dass der Rechenschaftsbericht von der Nachfolgerin korrekt erstellt werden könne. Bei einer Chargenübergabe sei eine umfassende Berichterstattung unabdingbare Voraussetzung dafür, dass die neue Beistandsperson in der Lage sei, das Amt anzutreten, allfällige Fehler und Lücken in der bisherigen Mandatsführung zu erkennen und das Mandat lösungsorientiert und aufgabengerecht weiterzuführen. Wenn weder ein Rechenschaftsbericht des in der betreffenden Periode aktiven Beistands noch ein Schlussbericht vorliege, würden sich in Bezug auf die Berufsethik, eine verantwortungsvolle Mandatsübergabe und die Wertschätzung der betroffenen Personen Fragen stellen. Die Entbindung von der Berichterstattung habe in erster Linie jene Fälle zum Gegenstand, in denen es um die Aufhebung der Massnahme gehe.</w:t>
      </w:r>
    </w:p>
    <w:p>
      <w:r>
        <w:rPr>
          <w:b/>
        </w:rPr>
        <w:t>E. 4.3</w:t>
      </w:r>
    </w:p>
    <w:p>
      <w:r>
        <w:t>Wie die Vorinstanz richtig ausführt, unterscheiden sich Rechenschafts- und Schlussberichte dadurch, dass die Rechenschaftsberichte vor allem dazu dienen, die Amtsführung des Beistands zu überprüfen und zu steuern und ihm gegebenenfalls Weisungen zu erteilen, während der Schlussbericht nur der Information dient (Urteil 5A_151/2014 vom 4. April 2014 E. 6.1). Deshalb kommt der Genehmigung eines Schlussberichts auch keine unmittelbare materiell-rechtliche Bedeutung zu (zit. Urteil 5A_151/2014 E. 6.1; Urteil 5A_35/2019 vom 11. November 2019 E. 3.3.1). Dennoch erfolgt die Prüfung von Schlussbericht und Rechenschaftsberichten in gleicher Weise; es ist etwa in beiden Fällen zu prüfen, ob ein Verantwortlichkeitsfall gegeben ist (ERNST LANGENEGGER, in: Praxisanleitung Erwachsenenschutzrecht [mit Mustern], KOKES [Hrsg.], 2012, S. 235 Rz. 8.17; PHILIPPE MEIER, Droit de la protection de l'adulte, Articles 360-456 CC, 2016, S. 562 Rz. 1162). Dies hängt damit zusammen, dass auch dem Rechenschaftsbericht neben den bereits genannten Zwecken eine Informationsfunktion zukommt. Solange eine Rechenschaftsperiode läuft, erübrigt sich deshalb ein Schlussbericht. In der Praxis wird ein Beistand daher regelmässig vom Schlussbericht entbunden, wenn es zu einem Beistandswechsel innerhalb der Berufsbeistandschaftsorganisation kommt und die ursprünglich angesetzte Berichtsperiode für die Amtsnachfolgerin weiterläuft (YVO BIDERBOST, Ende der Beistandschaft, in: Fachhandbuch Kindes- und Erwachsenenschutzrecht, Expertenwissen für die Praxis, Christiana Fountoulakis und andere [Hrsg.], 2016, S. 317 Rz. 8.405). Denn der interne Informationsfluss zwischen dem ausscheidenden Beistand und der Amtsnachfolgerin kann auch auf andere Weise sichergestellt werden (z.B. im Rahmen einer Protokollnotiz oder durch eine Anpassung der Berichtsperiode für die Erstellung des Rechenschaftsberichts [vgl. zu dieser Möglichkeit: BGE 146 V 139 E. 6.2.3]). Die Vorinstanz hat basierend auf den unterschiedlichen Funktionen von Schluss- und Rechenschaftsberichten im Ergebnis zu Recht geschlossen, dass sich die Erstellung eines Schlussberichts erübrigt, sofern der aktuellen Beistandsperson die Mandatsführung möglich ist, d.h. ihr die erforderlichen Informationen vorliegen. Letzteres hat die Vorinstanz aufgrund der vorhandenen Akten und der von F.________ erstellten Berichte bejaht. Es ist deshalb nicht ersichtlich, inwiefern die Vorinstanz Recht verletzt haben bzw. in der Rechtsanwendung von ihrem Ermessen offensichtlich falschen Gebrauch gemacht haben sollte, der das Bundesgericht zu einem Einschreiten veranlassen würde (E. 4.1.3 oben).</w:t>
      </w:r>
    </w:p>
    <w:p>
      <w:r>
        <w:rPr>
          <w:b/>
        </w:rPr>
        <w:t>E. 5</w:t>
      </w:r>
    </w:p>
    <w:p>
      <w:r>
        <w:t>Zusammenfassend ist die Beschwerde abzuweisen, soweit darauf einzutreten ist. Bei diesem Ausgang des Verfahrens sind die Kosten der unterliegenden Beschwerdeführerin aufzuerlegen ( Art. 66 Abs. 1 BGG ). Eine Parteientschädigung schuldet sie hingegen nicht ( Art. 68 Abs. 3 BGG ). Das Gesuch der Beschwerdeführerin um unentgeltliche Rechtspflege ist abzuweisen, zumal ihre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