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477/2020 vom 27. Januar 2021</w:t>
      </w:r>
    </w:p>
    <w:p>
      <w:r>
        <w:t>Bundesgericht, 2021-01-27, FR</w:t>
      </w:r>
    </w:p>
    <w:p>
      <w:r>
        <w:rPr>
          <w:b/>
        </w:rPr>
        <w:t xml:space="preserve">Quelle: </w:t>
      </w:r>
      <w:r>
        <w:t>https://mcp.opencaselaw.ch/entscheid/bger_5A_477_2020</w:t>
      </w:r>
    </w:p>
    <w:p>
      <w:r>
        <w:t>FR: TF 5A 477/2020 du 27 janvier 2021</w:t>
      </w:r>
    </w:p>
    <w:p>
      <w:r>
        <w:t>IT: TF 5A 477/2020 del 27 gennaio 2021</w:t>
      </w:r>
    </w:p>
    <w:p>
      <w:pPr>
        <w:pStyle w:val="Heading2"/>
      </w:pPr>
      <w:r>
        <w:t>Regeste</w:t>
      </w:r>
    </w:p>
    <w:p>
      <w:r>
        <w:t>curatelle au sens de l'art. 308 al. 1 et 2 CC, autorité parentale et garde de l'enfant | Droit de la famille</w:t>
      </w:r>
    </w:p>
    <w:p>
      <w:pPr>
        <w:pStyle w:val="Heading2"/>
      </w:pPr>
      <w:r>
        <w:t>Erwägungen</w:t>
      </w:r>
    </w:p>
    <w:p>
      <w:r>
        <w:rPr>
          <w:b/>
        </w:rPr>
        <w:t>E. 1</w:t>
      </w:r>
    </w:p>
    <w:p>
      <w:r>
        <w:t>Introduit en temps utile ( art. 100 al. 1 LTF ) et dans la forme légale ( art. 42 al. 1 LTF ), le recours est dirigé contre une décision finale ( art. 90 LTF ) portant sur la modification de l'autorité parentale et de la répartition de la prise en charge d'un enfant né hors mariage, à savoir une affaire civile au sens de l' art. 72 al. 1 LTF (arrêt 5A_794/2017 du 7 février 2018 consid. 1 et les références), de nature non pécuniaire. La décision entreprise a été rendue sur recours par une autorité supérieure statuant en dernière instance cantonale ( art. 75 LTF ). Le recourant a participé à la procédure devant l'autorité précédente et a un intérêt digne de protection à la modification ou l'annulation de la décision entreprise ( art. 76 al. 1 let. a et b LTF ). Le recours est recevable au regard des dispositions qui précèdent.</w:t>
      </w:r>
    </w:p>
    <w:p>
      <w:r>
        <w:rPr>
          <w:b/>
        </w:rPr>
        <w:t>E. 2</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3</w:t>
      </w:r>
    </w:p>
    <w:p>
      <w:r>
        <w:t>Dans un grief de nature formelle qu'il convient d'examiner préalablement à l'argumentation sur le fond ( ATF 141 V 557 consid. 3 et les références), le recourant se plaint de la violation de son droit d'être entendu ( art. 29 al. 2 Cst. ), singulièrement de son droit de répliquer,exposant que l'autorité cantonale ne lui a jamais communiqué la réponse spontanée introduite par l'intimée le 26 février 2020 ainsi que les quatre pièces qui y étaient annexées. Il n'aurait dès lors pas eu l'occasion de se déterminer sur ces écritures avant que la décision attaquée ne soit prise.</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139 II 489 consid. 3.3; 139 I 189 consid. 3.2; 138 I 484 consid. 2.1; 138 I 154 consid. 2.3.3; 137 I 195 consid. 2.3.1). Il est du devoir du tribunal de garantir aux parties un droit effectif à la réplique dans chaque cas particulier. Même s'il renonce à ordonner un nouvel échange d'écritures ( ATF 142 III 48 consid. 4.1.1 p. 53), le juge doit dès lors communiquer aux parties t oute prise de position ou pièce nouvelle versée au dossier, afin de leur permettre de décider si elles veulent ou non faire usage de leur faculté de se déterminer ( ATF 139 I 189 consid. 3.2 et les réfé rences).</w:t>
      </w:r>
    </w:p>
    <w:p>
      <w:r>
        <w:rPr>
          <w:b/>
        </w:rPr>
        <w:t>E. 3.2</w:t>
      </w:r>
    </w:p>
    <w:p>
      <w:r>
        <w:t>En l'espèce, il ne ressort ni de l'arrêt entrepris, ni du dossier que la réponse spontanée de l'intimée du 26 février 2020 aurait été communiquée par l'autorité cantonale au recourant avant que la décision entreprise ne soit rendue. Peu importe que le conseil de l'intimée, ainsi que celle-ci l'affirme, ait adressé directement une copie de cette écriture à l'avocat du recourant à titre confraternel. Selon la jurisprudence, seule une transmission par le juge garantit en effet un droit de réplique effectif (arrêts 1B_485/2017 du 7 février 2018 consid. 3.2; 5A_262/2015 du 11 août 2015 consid. 3.2; 4A_612/2013 du 25 août 2014 consid. 6.4; 4A_660/2012 du 18 avril 2013 consid. 2.2). Dans ces circonstances, le droit d'être entendu du recourant, sous l'angle du droit à la réplique, a été violé.</w:t>
      </w:r>
    </w:p>
    <w:p>
      <w:r>
        <w:rPr>
          <w:b/>
        </w:rPr>
        <w:t>E. 4</w:t>
      </w:r>
    </w:p>
    <w:p>
      <w:r>
        <w:t>Vu ce qui précède, le recours est admis, la décision attaquée est annulée et la cause est renvoyée à l'autorité précédente pour nouvelle décision, après avoir permis au recourant d'exercer son droit à la réplique. En procédure fédérale, les frais de justice et les dépens sont attribués sur la base des conclusions de la partie recourante contre le jugement attaqué, compte tenu de l'issue du procès, et donc indépendamment des conclusions de la partie intimée; même si celle-ci n'a pas procédé, elle ne saurait pour ce motif échapper aux frais et dépens de la procédure. Une exception à ce principe n'entre en ligne de compte que lorsque le recours est admis en raison d'une erreur de procédure particulièrement grave (Justizpanne), sans que l'intimé ne réponde du vice incriminé; pour que cette exception s'applique, il faut en outre que l'intimé ait conclu à l'admission du recours ou qu'il ait renoncé à se déterminer; s'il a conclu au rejet du recours, les frais et dépens seront mis à sa charge bien qu'il ne soit pas responsable du vice de procédure (arrêt 5A_107/2019 du 19 juin 2019 consid. 3 et les nombreuses références). En l'espèce, contrairement à ce que soutient l'intimée - qui a au demeurant conclu au rejet du recours - l'admission du recours ne résulte pas d'une erreur procédurale particulièrement grave. Dans ces circonstances, les frais et dépens de l'instance fédérale ne sauraient être mis à la charge du canton de Vaud, mais incombent à l'intimée,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