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5A_475/2021 vom 10. Juni 2021</w:t>
      </w:r>
    </w:p>
    <w:p>
      <w:r>
        <w:t>Bundesgericht, 2021-06-10, DE</w:t>
      </w:r>
    </w:p>
    <w:p>
      <w:r>
        <w:rPr>
          <w:b/>
        </w:rPr>
        <w:t xml:space="preserve">Quelle: </w:t>
      </w:r>
      <w:r>
        <w:t>https://mcp.opencaselaw.ch/entscheid/bger_5A_475_2021</w:t>
      </w:r>
    </w:p>
    <w:p>
      <w:r>
        <w:t>FR: TF 5A_475/2021 du 10 juin 2021</w:t>
      </w:r>
    </w:p>
    <w:p>
      <w:r>
        <w:t>IT: TF 5A_475/2021 del 10 giugno 2021</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sachbezogene Auseinandersetzung mit dessen Erwägungen erfordert ( BGE 140 III 115 E. 2 S. 116; 142 III 364 E. 2.4 S. 368).</w:t>
      </w:r>
    </w:p>
    <w:p>
      <w:r>
        <w:t>Beruht der angefochtene Entscheid auf mehreren selbständigen Alternativbegründungen, so ist für jede einzelne darzutun, weshalb sie Recht verletzt, weil andernfalls der angefochtene Entscheid gestützt auf die unangefochtene Begründung bestehen bleibt und das Rechtsschutzinteresse an der Beurteilung der beanstandeten Erwägung entfällt ( BGE 138 I 97 E. 4.1.4 S. 100; 142 III 364 E. 2.4 S. 368).</w:t>
      </w:r>
    </w:p>
    <w:p>
      <w:r>
        <w:rPr>
          <w:b/>
        </w:rPr>
        <w:t>E. 2</w:t>
      </w:r>
    </w:p>
    <w:p>
      <w:r>
        <w:t>Beide kantonalen Instanzen haben das jeweilige Gesuch um unentgeltliche Rechtspflege primär wegen Aussichtslosigkeit des Verfahrens abgewiesen. Dazu äussert sich der Beschwerdeführer überhaupt nicht. Entsprechend bleibt die Beschwerde nach dem in E. 1 Gesagten unbegründet, weshalb im vereinfachten Verfahren nach Art. 108 Abs. 1 lit. b BGG nicht auf sie einzutreten ist.</w:t>
      </w:r>
    </w:p>
    <w:p>
      <w:r>
        <w:rPr>
          <w:b/>
        </w:rPr>
        <w:t>E. 3</w:t>
      </w:r>
    </w:p>
    <w:p>
      <w:r>
        <w:t>Angesichts der konkreten Umstände wird auf die Erhebung von Gerichtskosten verzichtet ( Art. 66 Abs. 1 BGG ). Damit ist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