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5A_475/2019 vom 13. Juni 2019</w:t>
      </w:r>
    </w:p>
    <w:p>
      <w:r>
        <w:t>Bundesgericht, 2019-06-13, DE</w:t>
      </w:r>
    </w:p>
    <w:p>
      <w:r>
        <w:rPr>
          <w:b/>
        </w:rPr>
        <w:t xml:space="preserve">Quelle: </w:t>
      </w:r>
      <w:r>
        <w:t>https://mcp.opencaselaw.ch/entscheid/bger_5A_475_2019</w:t>
      </w:r>
    </w:p>
    <w:p>
      <w:r>
        <w:t>FR: TF 5A_475/2019 du 13 juin 2019</w:t>
      </w:r>
    </w:p>
    <w:p>
      <w:r>
        <w:t>IT: TF 5A_475/2019 del 13 giugno 2019</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Die Eingabe an das Bundesgericht erfolgt durch B.________, welcher Arzt und Ehemann der Schwester, indes offensichtlich nicht Rechtsanwalt und deshalb nicht zur Vertretung des Beschwerdeführers befugt ist.</w:t>
      </w:r>
    </w:p>
    <w:p>
      <w:r>
        <w:t>Eine Rückweisung zur Verbesserung des Mangels (namentlich durch eigenhändige Unterzeichnung seitens des Beschwerdeführers) erübrigt sich jedoch, weil auf die Beschwerde ohnehin nicht einzutreten ist (vgl. E. 2-4).</w:t>
      </w:r>
    </w:p>
    <w:p>
      <w:r>
        <w:rPr>
          <w:b/>
        </w:rPr>
        <w:t>E. 2</w:t>
      </w:r>
    </w:p>
    <w:p>
      <w:r>
        <w:t>Anfechtungsobjekt bildet ausschliesslich das Ausstandsgesuch und dabei die Frage der Rechtsmittellegitimation im kantonalen Verfahren. Neue Begehren sind vor Bundesgericht unzulässig ( Art. 99 Abs. 2 BGG ). Soweit der Beschwerdeführer mehr oder anderes verlangt, als von der Vorinstanz beurteilt wurde, ist auf die Beschwerde nicht einzutreten ( BGE 136 V 362 E. 3.4.2 S. 365 ; 142 I 155 E. 4.4.2 S. 156).</w:t>
      </w:r>
    </w:p>
    <w:p>
      <w:r>
        <w:rPr>
          <w:b/>
        </w:rPr>
        <w:t>E. 3</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Das Obergericht hat festgehalten, dass die Vorbringen des Beschwerdeführers insofern an der Sache vorbeigingen, als im vorliegenden Verfahren nicht die Retournierung der Klagen, sondern die Abschreibung des Ausstandsverfahrens zu prüfen sei, in welchem allein die Schwester Partei gewesen sei und mithin dem Beschwerdeführer die Legitimation zur Erhebung eines Rechtsmittels abgehe, zumal er nicht geltend mache, dass ihm die Teilnahme an jenem Ausstandsverfahren verweigert bzw. er zu Unrecht nicht zur Teilnahme zugelassen worden wäre.</w:t>
      </w:r>
    </w:p>
    <w:p>
      <w:r>
        <w:t>Mit dieser Erwägung setzt sich der Beschwerdeführer nicht in einer den dargelegten Anforderungen genügenden Weise auseinander; er äussert sich primär zu einer Vielzahl von anderen Dingen (er habe Anspruch, mit rechtserheblichen Vorbringen und Beweismitteln zugelassen zu werden; sein rechtliches Gehör werde verletzt; die Befangenheit sei wesentlich und klärungsbedürftig; auch seine Klage sei zurückgesandt worden, nicht nur diejenige der Schwester; Ausführungen zur postalischen Behandlung der Klagen und der Registrierung auf der Gerichtskanzlei; er sei evident ungleich und unsachlich behandelt worden; den Gerichtspräsidenten treffe ein schweres Verschulden, weshalb er klarerweise befangen sei; Rügen in Bezug auf weitere Entscheide des Regionalgerichtes; u.a.m.) und ruft in diesem Zusammenhang eine ganze Palette von verfassungsmässigen Rechten an. All dies hat nichts mit der vorliegend allein entscheidenden Frage der Rechtsmittellegitimation im kantonalen Beschwerdeverfahren zu tun.</w:t>
      </w:r>
    </w:p>
    <w:p>
      <w:r>
        <w:t>Soweit schliesslich das Gegenteil der in beiden kantonalen Entscheiden für das Bundesgericht verbindlich getroffenen Feststellung (Art. 105Abs. 1 BGG), wonach im Ausstandsverfahren nur die Schwester Partei gewesen sei, behauptet wird, steht dies in Widerspruch zu den vom Beschwerdeführer im bundesgerichtlichen Verfahren selbst eingereichten Unterlagen (in Beilage 7 wurde mit Eingabe vom 27. März 2019 eine Begründung für die Retournierung der Klagen verlangt und ein Ausstandsgesuch angekündigt; in Beilage 8 wurde das Ausstandsgesuch am 1. April 2019 schliesslich eingereicht [vgl. Rechtsbegehren 8 und 9], dies aber explizit einzig im Namen der Schwester). Sodann zeigt der Beschwerdeführer auch nicht auf, inwiefern die Erwägung des Obergerichtes, er tue im kantonalen Rechtsmittelverfahren nicht dar, dass ihm die Teilnahme verweigert worden wäre, gegen Recht verstossen soll.</w:t>
      </w:r>
    </w:p>
    <w:p>
      <w:r>
        <w:rPr>
          <w:b/>
        </w:rPr>
        <w:t>E. 4</w:t>
      </w:r>
    </w:p>
    <w:p>
      <w:r>
        <w:t>Nach dem Gesagten erweist sich die Beschwerde teils als offensichtlich unzulässig und teils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