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5A_474/2025 vom 18. Juni 2025</w:t>
      </w:r>
    </w:p>
    <w:p>
      <w:r>
        <w:t>Bundesgericht, 2025-06-18, DE</w:t>
      </w:r>
    </w:p>
    <w:p>
      <w:r>
        <w:rPr>
          <w:b/>
        </w:rPr>
        <w:t xml:space="preserve">Quelle: </w:t>
      </w:r>
      <w:r>
        <w:t>https://mcp.opencaselaw.ch/entscheid/bger_5A_474_2025</w:t>
      </w:r>
    </w:p>
    <w:p>
      <w:r>
        <w:t>FR: TF 5A_474/2025 du 18 juin 2025</w:t>
      </w:r>
    </w:p>
    <w:p>
      <w:r>
        <w:t>IT: TF 5A_474/2025 del 18 giugno 2025</w:t>
      </w:r>
    </w:p>
    <w:p>
      <w:pPr>
        <w:pStyle w:val="Heading2"/>
      </w:pPr>
      <w:r>
        <w:t>Erwägungen</w:t>
      </w:r>
    </w:p>
    <w:p>
      <w:r>
        <w:rPr>
          <w:b/>
        </w:rPr>
        <w:t>E. 1</w:t>
      </w:r>
    </w:p>
    <w:p>
      <w:r>
        <w:t>Die Beschwerdeführerin hat ihrer Eingabe die superprovisorische Verfügung beigelegt. Ihre Rechtsbegehren und die Beschwerdebegründung zielen aber offenkundig auf den vorsorglichen Massnahmeentscheid, welcher von Amtes wegen beim Obergericht eingeholt wurde. Ohnehin wäre gegen die superprovisorische Verfügung, worauf in der darin enthaltenen Rechtsmittelbelehrung zutreffend hingewiesen wird, kein Rechtsmittel gegeben ( BGE 137 III 417 E. 1.2; 139 III 86 E. 1.1.1; 140 III 289 E. 1.1).</w:t>
      </w:r>
    </w:p>
    <w:p>
      <w:r>
        <w:rPr>
          <w:b/>
        </w:rPr>
        <w:t>E. 2</w:t>
      </w:r>
    </w:p>
    <w:p>
      <w:r>
        <w:t>Beim vorsorglichen Massnahmeentscheid vom 12. Mai 2025 handelt es sich um einen kantonal letztinstanzlichen Entscheid betreffend Kindesbelange; die Beschwerde in Zivilsachen steht offen ( Art. 72 Abs. 1, Art. 75 Abs. 1 und Art. 90 BGG ). Allerdings ist bei vorsorglichen Massnahmen die Kognition eingeschränkt und nur die Rüge der Verletzung verfassungsmässiger Rechte möglich ( Art. 98 BGG ). Es gilt somit das strenge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w:t>
      </w:r>
    </w:p>
    <w:p>
      <w:r>
        <w:rPr>
          <w:b/>
        </w:rPr>
        <w:t>E. 3</w:t>
      </w:r>
    </w:p>
    <w:p>
      <w:r>
        <w:t>Die Beschwerdeführerin schildert mit rein appellatorischen Ausführungen ihre eigene Perspektive des Sachverhaltes; eine willkürliche Sachverhaltsfeststellung wird dabei weder explizit noch der Sache nach gerügt. Gegen Schluss ihrer Beschwerde listet die Beschwerdeführerin zwar eine ganze Reihe von verfassungsmässigen Rechten auf; sie tut dies aber in abstrakter Weise und zeigt nicht auf, welches verfassungsmässige Recht inwiefern verletzt sein soll.</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