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5A_472/2014 vom 21. Oktober 2014</w:t>
      </w:r>
    </w:p>
    <w:p>
      <w:r>
        <w:t>Bundesgericht, 2014-10-21, FR</w:t>
      </w:r>
    </w:p>
    <w:p>
      <w:r>
        <w:rPr>
          <w:b/>
        </w:rPr>
        <w:t xml:space="preserve">Quelle: </w:t>
      </w:r>
      <w:r>
        <w:t>https://mcp.opencaselaw.ch/entscheid/bger_5A_472_2014</w:t>
      </w:r>
    </w:p>
    <w:p>
      <w:r>
        <w:t>FR: TF 5A_472/2014 du 21 octobre 2014</w:t>
      </w:r>
    </w:p>
    <w:p>
      <w:r>
        <w:t>IT: TF 5A_472/2014 del 21 ottobre 2014</w:t>
      </w:r>
    </w:p>
    <w:p>
      <w:pPr>
        <w:pStyle w:val="Heading2"/>
      </w:pPr>
      <w:r>
        <w:t>Erwägungen</w:t>
      </w:r>
    </w:p>
    <w:p>
      <w:r>
        <w:rPr>
          <w:b/>
        </w:rPr>
        <w:t>E. 1.1</w:t>
      </w:r>
    </w:p>
    <w:p>
      <w:r>
        <w:t>Le présent recours a été interjeté en temps utile ( art. 100 al. 1 LTF ) et dans la forme légale ( art. 42 LTF ), contre une décision finale ( art. 90 LTF ; ATF 133 III 393 consid. 4) prise en matière civile ( art. 72 al. 1 LTF ) par l'autorité supérieure du canton statuant en dernière instance et sur recours ( art. 75 al. 1 et 2 LTF ). Le litige porte sur les contributions d'entretien en faveur de l'épouse et des enfants, à savoir une affaire pécuniaire, dont la valeur litigieuse requise est atteinte (art. 51 al. 1 et 4, 74 al. 1 let. b LTF). Le recourant a en outre qualité pour recourir ( art. 76 al. 1 let. a et b LTF ).</w:t>
      </w:r>
    </w:p>
    <w:p>
      <w:r>
        <w:rPr>
          <w:b/>
        </w:rPr>
        <w:t>E. 1.2</w:t>
      </w:r>
    </w:p>
    <w:p>
      <w:r>
        <w:t>Comme la décision attaquée porte sur le prononcé de mesures protectrices de l'union conjugale ( art. 172 ss CC ), lesquelles sont considérées comme des mesures provisionnelles au sens de l' art. 98 LTF ( ATF 134 III 667 consid. 1.1; 133 III 393 consid. 5), le Tribunal fédéral dispose d'un pouvoir d'examen limité, seule la violation des droits constitutionnels pouvant être invoquée. Il n'examine en outre les griefs de violation de droits constitutionnels que s'ils ont été invoqués et motivés conformément au principe d'allégation ("Rügeprinzip"; art. 106 al. 2 LTF ), à savoir expressément soulevés et exposés de manière claire et détaillée ( ATF 139 I 229 consid. 2.2; 134 I 83 consid. 3.2; 133 II 249 consid. 1.4.2).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139 II 404 consid. 10.1).</w:t>
      </w:r>
    </w:p>
    <w:p>
      <w:r>
        <w:t>En l'espèce, le grief tiré d'une atteinte à la vie privée et familiale ( art. 13 et 14 Cst. ; 8 CEDH ) n'est pas motivé, de sorte qu'il est irrecevable. Seul le grief de violation de l'interdiction de l'arbitraire ( art. 9 Cst. ) sera dès lors examiné ci-après (cf.</w:t>
      </w:r>
    </w:p>
    <w:p>
      <w:r>
        <w:t>infra consid. 2).</w:t>
      </w:r>
    </w:p>
    <w:p>
      <w:r>
        <w:rPr>
          <w:b/>
        </w:rPr>
        <w:t>E. 1.3</w:t>
      </w:r>
    </w:p>
    <w:p>
      <w:r>
        <w:t>Le Tribunal fédéral statue sur la base des faits établis par l'autorité précédente ( art. 105 al. 1 LTF ). Dans l'hypothèse d'un recours soumis à l' art. 98 LTF , une rectification ou un complètement de l'état de fait n'entre en considération que si l'autorité précédente a violé des droits constitutionnels, les art. 95, 97 et 105 al. 2 LTF ne s'appliquant pas directement ( ATF 133 III 393 consid. 7.1, 585 consid. 4.1). Toutefois, l'application de l' art. 9 Cst. aboutit pratiquement au même résultat: le Tribunal fédéral ne corrige les constatations de fait que si elles sont arbitraires et ont une influence sur le résultat de la décision. Dans la mesure où la recourante s'écarte des constatations de la décision attaquée, les complète ou les modifie, sans se prévaloir ni démontrer d'arbitraire à ce sujet, ses allégations sont irrecevables.</w:t>
      </w:r>
    </w:p>
    <w:p>
      <w:r>
        <w:rPr>
          <w:b/>
        </w:rPr>
        <w:t>E. 2</w:t>
      </w:r>
    </w:p>
    <w:p>
      <w:r>
        <w:t>Le recourant se plaint d'arbitraire ( art. 9 Cst. ) dans la constatation des revenus de l'immeuble "G.________" à H.________, immeuble locatif qui abrite un home pour personnes âgées et dont il est copropriétaire par moitié avec son frère.</w:t>
      </w:r>
    </w:p>
    <w:p>
      <w:r>
        <w:rPr>
          <w:b/>
        </w:rPr>
        <w:t>E. 2.1</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134 V 53 consid. 4.3); encore faut-il que la correction du vice soit susceptible d'influer sur le sort du litige. Cette retenue est d'autant plus grande lorsque, comme en l'espèce, le juge n'examine la cause que d'une manière sommaire et provisoire ( ATF 130 III 321 consid. 3.3; 127 III 474 consid. 2b/bb).</w:t>
      </w:r>
    </w:p>
    <w:p>
      <w:r>
        <w:rPr>
          <w:b/>
        </w:rPr>
        <w:t>E. 2.2</w:t>
      </w:r>
    </w:p>
    <w:p>
      <w:r>
        <w:t>Concernant la détermination des revenus de l'immeuble "G.________", la cour cantonale a constaté que le premier juge s'était fondé sur un document établi par le mari. Ce magistrat n'avait pas procédé à une moyenne des revenus locatifs nets depuis 2008 - date d'acquisition de l'immeuble par l'intéressé -, mais avait tenu uniquement compte de celui de 2011. L'autorité précédente a estimé que c'était à juste titre. Selon elle, en effet, la hausse du rendement locatif cette année-là s'expliquait par une importante augmentation du loyer, qui était passé de 13'000 fr. à 16'400 fr. dès le 1</w:t>
      </w:r>
    </w:p>
    <w:p>
      <w:r>
        <w:t>er janvier 2011. Par ailleurs, le document établi par le mari mentionnait certes des investissements de 289'876 fr. 60 au 8 avril 2008, 79'019 fr. au 31 décembre 2008, 10'368 fr. en 2009, 8'608 fr. en 2010 et aucun pour 2011. Rien n'établissait cependant que ces investissements seraient appelés à se renouveler, l'installation d'ascenseurs, par exemple, étant un investissement à plus-value effectué une fois pour toutes. Contrairement à ce que prétendait le mari, il n'y avait donc pas lieu de se fonder sur une moyenne de 2008 à 2011.</w:t>
      </w:r>
    </w:p>
    <w:p>
      <w:r>
        <w:t>A l'appui de son grief, le recourant soutient que l'autorité cantonale a arbitrairement apprécié le revenu de son immeuble en estimant qu'il n'aurait plus à consentir d'investissement générant une plus-value, et cela sans prendre en considération les investissements courants nécessaires à l'entretien d'un immeuble locatif abritant un home pour personnes âgées. Il expose que des investissements conduisant à une plus-value ne se répètent, il est vrai, pas chaque année dans un tel immeuble de rendement. Toutefois, il a établi par pièces qu'il devait supporter des frais d'entretien réguliers, au demeurant très fluctuants. Il se réfère sur ce point aux décomptes de l'immeuble figurant au dossier, alléguant qu'ils mettent en évidence des charges moyennes de quelque 100'000 fr. (soit 50'000 fr. par part de copropriété) sur trois ans (2008 étant l'année d'acquisition). En omettant de tenir compte de ces charges, la cour cantonale aurait retenu de manière insoutenable que son immeuble lui procurait un revenu mensuel net de 6'900 fr., alors que celui-ci serait de l'ordre de 3'000 fr. (ou 35'000 fr. par an), ce qui correspondrait d'ailleurs aux revenus de l'immeuble figurant dans les déclarations d'impôts qu'il a produites.</w:t>
      </w:r>
    </w:p>
    <w:p>
      <w:r>
        <w:t>Ce grief apparaît fondé. En effet, l'autorité cantonale ne pouvait considérer, sans arbitraire, qu'aucun investissement ne devrait plus être consenti à l'avenir au motif que ceux engendrant une plus-value, effectués précédemment, n'étaient pas appelés à se répéter, et en omettant d'examiner, sur la base des pièces produites, la question des frais d'entretien courants. Il convient ainsi d'admettre le recours et de renvoyer la cause à la cour cantonale pour qu'elle se détermine à ce sujet et statue à nouveau sur les contributions d'entretien, en tenant compte de ce qui précède.</w:t>
      </w:r>
    </w:p>
    <w:p>
      <w:r>
        <w:rPr>
          <w:b/>
        </w:rPr>
        <w:t>E. 3</w:t>
      </w:r>
    </w:p>
    <w:p>
      <w:r>
        <w:t>En conclusion, le recours est admis, dans la mesure de sa recevabilité, la décision attaquée annulée et l'affaire renvoyée à l'autorité précédente pour nouvelle décision dans le sens des considérants. Les frais judiciaires, arrêtés à 2'500 fr., sont mis à la charge de l'intimée ( art. 66 al. 1 LTF ), qui versera en outre des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