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470/2017 vom 26. Juni 2017</w:t>
      </w:r>
    </w:p>
    <w:p>
      <w:r>
        <w:t>Bundesgericht, 2017-06-26, DE</w:t>
      </w:r>
    </w:p>
    <w:p>
      <w:r>
        <w:rPr>
          <w:b/>
        </w:rPr>
        <w:t xml:space="preserve">Quelle: </w:t>
      </w:r>
      <w:r>
        <w:t>https://mcp.opencaselaw.ch/entscheid/bger_5A_470_2017</w:t>
      </w:r>
    </w:p>
    <w:p>
      <w:r>
        <w:t>FR: TF 5A 470/2017 du 26 juin 2017</w:t>
      </w:r>
    </w:p>
    <w:p>
      <w:r>
        <w:t>IT: TF 5A 470/2017 del 26 giugno 2017</w:t>
      </w:r>
    </w:p>
    <w:p>
      <w:pPr>
        <w:pStyle w:val="Heading2"/>
      </w:pPr>
      <w:r>
        <w:t>Regeste</w:t>
      </w:r>
    </w:p>
    <w:p>
      <w:r>
        <w:t>Prüfung einer Massnahme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 eigenen Angaben in der Beschwerde sowie belegt durch den Auszug Track &amp; Trace nahm der Beschwerdeführer den angefochtenen Entscheid am 22. Mai 2017 in Empfang. Damit wurde die 30 Tage betragende ( Art. 100 Abs. 1 BGG ) Beschwerdefrist ausgelöst ( Art. 44 Abs. 1 BGG ) und sie lief am 21. Juni 2017 ab. Die Rechtsmittelbelehrung im angefochtenen Entscheid nennt die Frist; der Passus "innert 30 Tagen" ist sogar fett gedruckt. Die erst am 22. Juni 2017 der Post übergebene Beschwerde ist folglich verspätet.</w:t>
      </w:r>
    </w:p>
    <w:p>
      <w:r>
        <w:rPr>
          <w:b/>
        </w:rPr>
        <w:t>E. 2</w:t>
      </w:r>
    </w:p>
    <w:p>
      <w:r>
        <w:t>Nach dem Gesagten ist im Verfahren gemäss Art. 108 Abs. 1 lit. a BGG auf die Beschwerde nicht einzutreten. Entsprechend den konkreten Umständen rechtfertigt es sich, von Gerichtskosten abzusehen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