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5A_46/2013 vom 1. Mai 2013</w:t>
      </w:r>
    </w:p>
    <w:p>
      <w:r>
        <w:t>Bundesgericht, 2013-05-01, DE</w:t>
      </w:r>
    </w:p>
    <w:p>
      <w:r>
        <w:rPr>
          <w:b/>
        </w:rPr>
        <w:t xml:space="preserve">Quelle: </w:t>
      </w:r>
      <w:r>
        <w:t>https://mcp.opencaselaw.ch/entscheid/bger_5A_46_2013</w:t>
      </w:r>
    </w:p>
    <w:p>
      <w:r>
        <w:t>FR: TF 5A_46/2013 du 1 mai 2013</w:t>
      </w:r>
    </w:p>
    <w:p>
      <w:r>
        <w:t>IT: TF 5A_46/2013 del 1 maggio 2013</w:t>
      </w:r>
    </w:p>
    <w:p>
      <w:pPr>
        <w:pStyle w:val="Heading2"/>
      </w:pPr>
      <w:r>
        <w:t>Erwägungen</w:t>
      </w:r>
    </w:p>
    <w:p>
      <w:r>
        <w:rPr>
          <w:b/>
        </w:rPr>
        <w:t>E. 1</w:t>
      </w:r>
    </w:p>
    <w:p>
      <w:r>
        <w:t>Angefochten ist ein kantonal letztinstanzliches Feststellungsurteil betreffend eine Scheidungsrente mit einem Fr. 30'000.-- übersteigenden Streitwert (Art. 72 Abs. 1, Art. 51 Abs. 4 i.V.m. Art. 74 Abs. 1 lit. b, Art. 75 Abs. 1 und Art. 90 BGG ); die Beschwerde in Zivilsachen ist somit gegeben.</w:t>
      </w:r>
    </w:p>
    <w:p>
      <w:r>
        <w:rPr>
          <w:b/>
        </w:rPr>
        <w:t>E. 2</w:t>
      </w:r>
    </w:p>
    <w:p>
      <w:r>
        <w:t>Das Kantonsgericht hat festgestellt und erwogen, dass die Ehefrau bereits im Erläuterungsverfahren (zwar nicht vom Wortlaut, wohl aber vom Inhalt her) identische Begehren gestellt habe, indem sie eine dahingehende Interpretation verlangt habe, dass die in Ziff II/1 Abs. 1 fixierte Frauenrente durch den Ehemann bzw. durch dessen Nachlass bis zu ihrem Ableben zahlbar sei. Mit den Erläuterungsentscheiden sei die Scheidungsrente nicht nur in zeitlicher Hinsicht, sondern ebenso im Quantitativen erläutert worden, was auch für den kantonsgerichtlichen Entscheid vom 14. August 2007 zutreffe. Dies werde vollends klar durch die Entscheidbegründung, nach welcher die Auslegung der Ehefrau, die (höhere) Scheidungsrente gemäss Abs. 1 laufe auch nach dem virtuellen Erreichen des AHV-Alters weiter, nicht zutreffen könne, da nicht ernsthaft anzunehmen sei, dass nach dem beidseitigen Willen vom frühen Tod des Ehemannes jemand sollte profitieren können. Deshalb könne vernünftigerweise nur sein, dass die Unterhaltsrente von dem Zeitpunkt an, in dem der Ehemann das AHV-Alter erreicht hätte, nach der im zweiten Absatz festgelegten Berechnungsmethode zu bestimmen sei. Dabei seien die Rentenansprüche des verstorbenen Ehemannes nachträglich hypothetisch zu ermitteln, was durchaus möglich scheine, aber nicht mehr Aufgabe des Gerichts im Rahmen einer Erläuterung sei, sondern Sache der Parteien bleibe. Die Ehefrau habe diesen Entscheid nicht angefochten, sondern in Rechtskraft erwachsen lassen. Den identischen Streitgegenstand könne sie nicht Jahre danach mit einer Feststellungsklage erneut thematisieren.</w:t>
      </w:r>
    </w:p>
    <w:p>
      <w:r>
        <w:rPr>
          <w:b/>
        </w:rPr>
        <w:t>E. 3</w:t>
      </w:r>
    </w:p>
    <w:p>
      <w:r>
        <w:t>Die Ehefrau macht eine Verletzung von Art. 5, 9 und 29 f. BV sowie von Art. 58 und 59 ZPO geltend. Sie führt aus, dass das Kantonsgericht, indem es im Dispositiv seines Erläuterungsentscheides vom 14. August 2007 festgehalten habe, dass die in Ziff. II/1 Abs. 1 und 2 festgesetzten Unterhaltsrenten dem Nachlass des Ehemannes belastet werden könnten, lediglich über das zeitliche Element, nicht aber über die Höhe der Rente entschieden habe, weshalb dieser zweite Punkt einem heutigen Feststellungsurteil zugänglich sei. Etwas anderes als eine Erläuterung in zeitlicher Hinsicht habe sie denn mit ihrem damaligen Erläuterungsbegehren vor Kantonsgericht, wonach die Frauenrente gemäss Abs. 1 durch den Ehemann bzw. bei dessen Ableben durch dessen Nachlass bis zu ihrem Ableben zahlbar sei, auch nicht verlangt. Grundsätzlich erwachse allein das Entscheiddispositiv in Rechtskraft; lediglich in dieser Hinsicht bestehe eine Bindewirkung, weshalb allfällig anderslautende Erwägungen nicht von Belang seien.</w:t>
      </w:r>
    </w:p>
    <w:p>
      <w:r>
        <w:rPr>
          <w:b/>
        </w:rPr>
        <w:t>E. 4</w:t>
      </w:r>
    </w:p>
    <w:p>
      <w:r>
        <w:t>Mit der gerichtlichen Genehmigung verliert die Scheidungskonvention ihren privatrechtlichen Charakter und wird zum vollwertigen Bestandteil des Scheidungsurteils, und zwar unabhängig davon, ob sie den disponiblen oder den nicht disponiblen Teil der scheidungsrechtlichen Auseinandersetzung betrifft ( BGE 105 II 166 E. 1 S. 168 f.; 119 II 297 E. 3 S. 300; vgl. auch Art. 140 Abs. 1 aZGB, nunmehr Art. 279 Abs. 2 ZPO ). Mithin war die fragliche Konventionsklausel grundsätzlich einer Erläuterung zugänglich. Diese schuf kein neues Urteil in der Sache, sondern ergänzte den ursprünglichen Entscheid ( BGE 117 II 508 E. 1 S. 510). Ob vor diesem Hintergrund bei einem Erläuterungsentscheid, welcher nur einen von mehreren unklaren Punkten betroffen hätte, überhaupt Platz für eine Feststellungsklage wäre oder ob nicht vielmehr ein ergänzender Erläuterungsentscheid angestrengt werden müsste (vgl. zum Verhältnis zwischen Erläuterung und Feststellung: HAGGER, Die Erläuterung im schweizerischen Zivilprozessrecht unter besonderer Berücksichtigung des Kantons Zürich, Diss. ZH 1982, S. 18; LEUCH/MARBACH/KELLERHALS/STERCHI, Die Zivilprozessordnung für den Kanton Bern, 5. Aufl. 2000, N. 4 Abs. 2 zu Art. 402), kann vorliegend offen bleiben, weil der kantonsgerichtliche Erläuterungsentscheid vom 14. August 2007 sich nicht nur auf die temporalen Aspekte, sondern offensichtlich auch auf die Höhe der Scheidungsrente bezog.</w:t>
      </w:r>
    </w:p>
    <w:p>
      <w:r>
        <w:t>Nach den Feststellungen im angefochtenen Entscheid ging das erst- und zweitinstanzliche Erläuterungsbegehren der Ehefrau dahin, dass die in Ziff II/1 Abs. 1 fixierte Rente durch den Ehemann bzw. durch dessen Nachlass bis zu ihrem Ableben zahlbar sei. Indem die Ehefrau also eine Erläuterung dergestalt verlangte, dass ihr die (höhere) Scheidungsrente gemäss Abs. 1 - d.h. der Betrag von Fr. 2'200.-- pro Monat - bis zu ihrem Ableben zahlbar sei, verlangte sie entgegen ihrer Behauptung offensichtlich auch eine Erläuterung mit Bezug auf die Rentenhöhe. Wenn sodann das Obergericht in Beurteilung dieses Begehrens festhielt, dass die in Ziff. II/1 Abs. 1 und 2 festgesetzten Unterhaltsrenten dem Nachlass des Ehemannes belastet werden könnten, so hat auch es sich zu beiden Elementen geäussert, freilich nicht im Sinn der Ehefrau, sondern dahingehend, dass bis zum virtuellen Eintritt des vorverstorbenen Ehemannes ins AHV-Alter die Rente in der Höhe gemäss Abs. 1 und danach die Rente in der Höhe gemäss Abs. 2 durch den Nachlass geschuldet sei. Etwas anderes lässt sich schon aus dem Dispositiv allein nicht herauslesen. Ohnehin aber ist ein Dispositiv entgegen der Behauptung der Ehefrau stets im Lichte der Entscheidbegründung auszulegen (Urteile 4P.116/1999 vom 17. September 1999 E. 5c; 4A_13/2012 vom 19. November 2012 E. 5). Zwar erwächst der Entscheid nur in jener Form in Rechtskraft, wie er im Urteilsdispositiv zum Ausdruck kommt, doch ergibt sich dessen Tragweite vielfach erst aus einem Beizug der Urteilserwägungen ( BGE 121 III 474 E. 4a S. 478). Dass die Entscheidbegründung vollends keine Zweifel daran lässt, wie das Kantonsgericht die fragliche Klausel erläutern wollte, stellt letztlich nicht einmal die Ehefrau in Abrede.</w:t>
      </w:r>
    </w:p>
    <w:p>
      <w:r>
        <w:t>Umfasste der kantonsgerichtliche Erläuterungsentscheid vom 14. August 2007 demnach sowohl die Rentendauer als auch die Rentenhöhe, ist für eine Feststellungsklage, mit welcher Jahre danach der identische Streitgegenstand wiederum zur Debatte gestellt werden soll, kein Raum.</w:t>
      </w:r>
    </w:p>
    <w:p>
      <w:r>
        <w:rPr>
          <w:b/>
        </w:rPr>
        <w:t>E. 5</w:t>
      </w:r>
    </w:p>
    <w:p>
      <w:r>
        <w:t>Die Beschwerde ist abzuweisen, soweit auf sie eingetreten werden kann. Die Gerichtskosten sind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