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5A_469/2024 vom 10. Januar 2025</w:t>
      </w:r>
    </w:p>
    <w:p>
      <w:r>
        <w:t>Bundesgericht, 2025-01-10, DE</w:t>
      </w:r>
    </w:p>
    <w:p>
      <w:r>
        <w:rPr>
          <w:b/>
        </w:rPr>
        <w:t xml:space="preserve">Quelle: </w:t>
      </w:r>
      <w:r>
        <w:t>https://mcp.opencaselaw.ch/entscheid/bger_5A_469_2024</w:t>
      </w:r>
    </w:p>
    <w:p>
      <w:r>
        <w:t>FR: TF 5A_469/2024 du 10 janvier 2025</w:t>
      </w:r>
    </w:p>
    <w:p>
      <w:r>
        <w:t>IT: TF 5A_469/2024 del 10 gennaio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Nachdem das Obergericht in der Sache selbst entschieden hat, ist die Rechtsverzögerungsbeschwerde gegenstandslos geworden und das bundesgerichtliche Verfahren als erledigt abzuschreiben.</w:t>
      </w:r>
    </w:p>
    <w:p>
      <w:r>
        <w:rPr>
          <w:b/>
        </w:rPr>
        <w:t>E. 2</w:t>
      </w:r>
    </w:p>
    <w:p>
      <w:r>
        <w:t>Für die Verfahrensabschreibung zufolge Gegenstandslosigkeit ist der Abteilungspräsident zuständig ( Art. 32 Abs. 2 BGG ).</w:t>
      </w:r>
    </w:p>
    <w:p>
      <w:r>
        <w:rPr>
          <w:b/>
        </w:rPr>
        <w:t>E. 3</w:t>
      </w:r>
    </w:p>
    <w:p>
      <w:r>
        <w:t>Angesichts der konkreten Umstände ist auf die Erhebung von Gerichtskosten zu verzichten ( Art. 66 Abs. 1 BGG ). Somit erübrigt es sich, mit summarischer Begründung über die Prozesskosten aufgrund der Sachlage vor Eintritt des Erledigungsgrundes zu entscheiden ( Art. 71 BGG i.V.m. Art. 72 BZP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