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5A_466/2025 vom 18. Juni 2025</w:t>
      </w:r>
    </w:p>
    <w:p>
      <w:r>
        <w:t>Bundesgericht, 2025-06-18, DE</w:t>
      </w:r>
    </w:p>
    <w:p>
      <w:r>
        <w:rPr>
          <w:b/>
        </w:rPr>
        <w:t xml:space="preserve">Quelle: </w:t>
      </w:r>
      <w:r>
        <w:t>https://mcp.opencaselaw.ch/entscheid/bger_5A_466_2025</w:t>
      </w:r>
    </w:p>
    <w:p>
      <w:r>
        <w:t>FR: TF 5A_466/2025 du 18 juin 2025</w:t>
      </w:r>
    </w:p>
    <w:p>
      <w:r>
        <w:t>IT: TF 5A_466/2025 del 18 giugno 2025</w:t>
      </w:r>
    </w:p>
    <w:p>
      <w:pPr>
        <w:pStyle w:val="Heading2"/>
      </w:pPr>
      <w:r>
        <w:t>Erwägungen</w:t>
      </w:r>
    </w:p>
    <w:p>
      <w:r>
        <w:rPr>
          <w:b/>
        </w:rPr>
        <w:t>E. 1</w:t>
      </w:r>
    </w:p>
    <w:p>
      <w:r>
        <w:t>Angefochten ist ein kantonal letztinstanzlicher Nichteintretensentscheid betreffend Ausdehnung der Vertretungsbeistandschaft; die Beschwerde in Zivilsachen steht offen (Art. 72 Abs. 2 lit. b Ziff. 6;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t>Zu beachten ist ferner, dass die Vorinstanz auf das Rechtsmittel des Beschwerdeführers nicht eingetreten ist. Der Anfechtungsgegenstand ist deshalb grundsätzlich auf die Frage beschränkt,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Kantonsgericht hat seinen Nichteintretensentscheid damit begründet, dass die Rechtsbegehren zu grossen Teilen ausserhalb des möglichen Anfechtungsgegenstandes stehen und im Übrigen der Vater aufgrund der fortgeschrittenen Demenz zwischenzeitlich keinen eigenen freien Willen mehr bilden könne, sondern sich in sämtlichen Lebensbereichen kritiklos den fremden Willen des Sohnes zu eigen mache und ihm folglich mangels Urteilsfähigkeit in Bezug auf das vorliegende Verfahren die Prozessfähigkeit abzusprechen sei, während der Sohn zwar als nahestehende Person im Sinn von Art. 450 Abs. 2 Ziff. 2 ZGB in Frage kommen, er damit aber nur die Interessen des von der Erwachsenenschutzmassnahme betroffenen Vaters wahren könnte und keine Eigeninteressen verfolgen dürfe und die Beistandschaft gerade errichtet worden sei, um den Vater vor ihm und seinen eigenmächtigen Handlungen zu schützen.</w:t>
      </w:r>
    </w:p>
    <w:p>
      <w:r>
        <w:t>Eine sachgerichtete Auseinandersetzung mit diesen Erwägungen erfolgt nicht. Soweit sich die Ausführungen auf den Inhalt des angefochtenen Entscheides beziehen, erschöpfen sie sich in der appellatorischen Behauptung des Beschwerdeführers, dass er gemäss medizinischen Gutachten vollständig urteils- und handlungsfähig sei und das angefochtene Urteil auf unvollständigen Informationen statt auf Fakten basiere. Damit wird weder explizit eine willkürliche Sachverhaltsfeststellung geltend gemacht noch wenigstens der Sache nach dargelegt, inwiefern die gegenteiligen Sachverhaltsfeststellungen im angefochtenen Entscheid willkürlich sein könnten.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Es liegt nahe, dass die Beschwerde vom Sohn, nicht vom Beschwerdeführer verfasst und diesem nur zur Unterschrift vorgelegt wurde; überdies ist von einem wohl fehlenden eigenen Beschwerdewillen zufolge diesbezüglicher Urteilsunfähigkeit auszugehen, wobei diese Frage aufgrund ihrer Doppelrelevanz und des Umstandes, dass die Beschwerde ohnehin ungenügend begründet ist, nicht selbständig als Eintretensvoraussetzung erörtert wurde. Vor dem geschilderten Hintergrund rechtfertigt es sich indes, auf die Erhebung von Gerichtskosten zulasten des Beschwerdeführers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