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5A_466/2023 vom 26. Juli 2023</w:t>
      </w:r>
    </w:p>
    <w:p>
      <w:r>
        <w:t>Bundesgericht, 2023-07-26, FR</w:t>
      </w:r>
    </w:p>
    <w:p>
      <w:r>
        <w:rPr>
          <w:b/>
        </w:rPr>
        <w:t xml:space="preserve">Quelle: </w:t>
      </w:r>
      <w:r>
        <w:t>https://mcp.opencaselaw.ch/entscheid/bger_5A_466_2023</w:t>
      </w:r>
    </w:p>
    <w:p>
      <w:r>
        <w:t>FR: TF 5A_466/2023 du 26 juillet 2023</w:t>
      </w:r>
    </w:p>
    <w:p>
      <w:r>
        <w:t>IT: TF 5A_466/2023 del 26 luglio 2023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juillet 2023; art. 44 al. 1 et 46 al. 2 let. a LTF, en relation avec l' art. 98 LTF ; ATF 134 III 667 consid. 1.3, avec les citations);</w:t>
      </w:r>
    </w:p>
    <w:p>
      <w:r>
        <w:t>que, partant, la cause doit être rayée du rôle ( art. 72 PCF , par renvoi de l' art. 71 LTF );</w:t>
      </w:r>
    </w:p>
    <w:p>
      <w:r>
        <w:t>que le Président de la Cour de céans est compétent à cet effet ( art. 32 al. 1 et 2 LTF );</w:t>
      </w:r>
    </w:p>
    <w:p>
      <w:r>
        <w:t>que les frais judiciaires incombent au requérant ( art. 66 al. 1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