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5A_466/2020 vom 18. Juni 2020</w:t>
      </w:r>
    </w:p>
    <w:p>
      <w:r>
        <w:t>Bundesgericht, 2020-06-18, DE</w:t>
      </w:r>
    </w:p>
    <w:p>
      <w:r>
        <w:rPr>
          <w:b/>
        </w:rPr>
        <w:t xml:space="preserve">Quelle: </w:t>
      </w:r>
      <w:r>
        <w:t>https://mcp.opencaselaw.ch/entscheid/bger_5A_466_2020</w:t>
      </w:r>
    </w:p>
    <w:p>
      <w:r>
        <w:t>FR: TF 5A_466/2020 du 18 juin 2020</w:t>
      </w:r>
    </w:p>
    <w:p>
      <w:r>
        <w:t>IT: TF 5A_466/2020 del 18 giugno 2020</w:t>
      </w:r>
    </w:p>
    <w:p>
      <w:pPr>
        <w:pStyle w:val="Heading2"/>
      </w:pPr>
      <w:r>
        <w:t>Erwägungen</w:t>
      </w:r>
    </w:p>
    <w:p>
      <w:r>
        <w:rPr>
          <w:b/>
        </w:rPr>
        <w:t>E. 1</w:t>
      </w:r>
    </w:p>
    <w:p>
      <w:r>
        <w:t>Am 6. Februar 2020 erhob der Beschwerdeführer beim Bezirksgericht Weinfelden Beschwerde gegen eine Pfändungsverfügung des Betreibungsamtes Bezirk Weinfelden vom 4. Dezember 2019, abgeändert mit Verfügung vom 10. Januar 2020. Zudem erhob er Beschwerde gegen das am 27. Januar 2020 aufgestellte Existenzminimum. Mit Entscheid vom 29. April 2020 wies das Bezirksgericht Weinfelden die Beschwerde ab.</w:t>
      </w:r>
    </w:p>
    <w:p>
      <w:r>
        <w:t>Gegen diesen Entscheid erhob der Beschwerdeführer am 12. Mai 2020 Beschwerde. Mit Entscheid vom 28. Mai 2020 wies das Obergericht des Kantons Thurgau die Beschwerde ab.</w:t>
      </w:r>
    </w:p>
    <w:p>
      <w:r>
        <w:t>Gegen diesen Entscheid hat der Beschwerdeführer am 8. Juni 2020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rügt Fehler bei der Existenzminimumsberechnung. Verschiedene Ausgabenposten (öV, Zulagen für Schwerarbeit, Schulmaterial, Versicherungen etc.) seien nicht oder nicht vollständig berücksichtigt worden. Er behauptet, dass es dafür Rechnungen und Belege gebe, die vorgelegt worden seien.</w:t>
      </w:r>
    </w:p>
    <w:p>
      <w:r>
        <w:t>Gemäss den obergerichtlichen Feststellungen hat der Beschwerdeführer keinerlei Belege eingereicht, um weitere Ausgaben auszuweisen, etwa für die Schulung der Kinder, für erhöhten Nahrungsbedarf wegen Schwerarbeit oder für einen Deutschkurs. Vor Bundesgericht belegt der Beschwerdeführer nicht, dass er entsprechende Unterlagen eingereicht hätte. Eine Sachverhaltsrüge fehlt ( Art. 97 Abs. 1 BGG ). Ausserdem geht er nicht darauf ein, dass nach den obergerichtlichen Erwägungen Prämien für nichtobligatorische Versicherungen nicht berücksichtigt werden können und Fahrten zum Arbeitsamt keine Gewinnungskosten seien. Der Beschwerdeführer macht sodann geltend, Rückvergütungen für Krankheitskosten seien nicht korrekt erfolgt. Dieses Vorbringen ist soweit ersichtlich neu und damit unzulässig ( Art. 99 Abs. 1 BGG ). Auch diese Behauptung belegt er im Übrigen nicht.</w:t>
      </w:r>
    </w:p>
    <w:p>
      <w:r>
        <w:t>Die Beschwerde enthält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