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464/2022 vom 31. Januar 2023</w:t>
      </w:r>
    </w:p>
    <w:p>
      <w:r>
        <w:t>Bundesgericht, 2023-01-31, FR</w:t>
      </w:r>
    </w:p>
    <w:p>
      <w:r>
        <w:rPr>
          <w:b/>
        </w:rPr>
        <w:t xml:space="preserve">Quelle: </w:t>
      </w:r>
      <w:r>
        <w:t>https://mcp.opencaselaw.ch/entscheid/bger_5A_464_2022</w:t>
      </w:r>
    </w:p>
    <w:p>
      <w:r>
        <w:t>FR: TF 5A 464/2022 du 31 janvier 2023</w:t>
      </w:r>
    </w:p>
    <w:p>
      <w:r>
        <w:t>IT: TF 5A 464/2022 del 31 gennaio 2023</w:t>
      </w:r>
    </w:p>
    <w:p>
      <w:pPr>
        <w:pStyle w:val="Heading2"/>
      </w:pPr>
      <w:r>
        <w:t>Regeste</w:t>
      </w:r>
    </w:p>
    <w:p>
      <w:r>
        <w:t>divorce (entretien post-divorce)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La recourante, qui a pris part à la procédure devant l'autorité précédente et qui a un intérêt digne de protection à l'annulation ou la modification de la décision querellée, a en outre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La recourante reproche à la cour cantonale de lui avoir imputé un revenu hypothétique de 4'639 fr. 70 par mois, correspondant à un emploi à 90% comme vendeuse dans le commerce de détail. Elle soutient qu'un taux d'activité hypothétique supérieur à 70% ne saurait être effectivement retenu, de sorte que son revenu mensuel devrait être fixé à 3'608 fr. 60 ([70 x 4'639.70] : 90). Elle fait valoir ce grief tant au titre de l'arbitraire dans l'établissement des faits que de la violation de l' art. 125 al. 1 et 2 ch. 5 CC .</w:t>
      </w:r>
    </w:p>
    <w:p>
      <w:r>
        <w:rPr>
          <w:b/>
        </w:rPr>
        <w:t>E. 3.1.1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arrêts 5A_191/2021 du 22 février 2022 consid. 5.1.1; 5A_93/2019 du 13 septembre 2021 consid. 3.1). La détermination de la contribution d'entretien est laissée, pour une part importante, à l'appréciation du juge du fait, qui applique les règles du droit et de l'équité ( art. 4 CC ; ATF 148 III 161 consid. 4.1 et les références ; arrêts 5A_1036/2021 du 23 septembre 2022 consid. 3.2.1; 5A_191/2021 du 22 février 2022 consid. 5.1.1). Selon la teneur littérale claire de l' art. 125 al. 1 CC , le principe de l'indépendance financière prime le droit à l'entretien post-divorce. Il en découle pour l'époux un devoir de se (ré) 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 ATF 147 III 308 consid. 5.2, 249 consid. 3.4.4; 141 III 465 consid. 3.1).</w:t>
      </w:r>
    </w:p>
    <w:p>
      <w:r>
        <w:rPr>
          <w:b/>
        </w:rPr>
        <w:t>E. 3.1.2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5A_433/2020 du 15 décembre 2020 consid. 4.1; 5A_600/2019 du 9 décembre 2020 consid. 5.1.1). Le juge doit alors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5A_344/2022 du 31 août 2022 consid. 4.3.1; 5A_191/2021 du 22 février 2022 consid. 5.1.2; 5A_645/2020 du 19 mai 2021 consid. 5.2.1). Pour arrêter le montant du salaire, le juge peut éventuellement se baser sur l'enquête suisse sur la structure des salaires, réalisée par l'Office fédéral de la statistique, ou sur d'autres sources, comme les conventions collectives de travail ( ATF 137 III 118 consid. 3.2).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(arrêts 5A_944/2021 du 19 mai 2022 consid. 4.1; 5A_191/2021 précité loc. cit.; 5A_1049/2019 du 25 août 2021 consid. 5; 5A_7/2021 du 2 septembre 2021 consid. 4.4).</w:t>
      </w:r>
    </w:p>
    <w:p>
      <w:r>
        <w:rPr>
          <w:b/>
        </w:rPr>
        <w:t>E. 3.2</w:t>
      </w:r>
    </w:p>
    <w:p>
      <w:r>
        <w:t>En l'espèce, la recourante admet qu'il pourrait théoriquement être exigé d'elle, compte tenu notamment de son âge lors de la séparation et de son état de santé, qu'elle augmente son taux d'activité à 90%. Cela étant, les juges cantonaux avaient versé dans l'arbitraire en retenant qu'elle jouissait d'une possibilité effective d'augmenter son taux d'activité à 90%, au motif qu'après son licenciement de l'emploi à 70%, trouvé dans la vente peu de temps après la séparation, elle avait été engagée à taux partiel par le même employeur du 1er février 2019 au 29 février 2020, tout en travaillant à 50%, comme vendeuse également, pour une autre société, ce qui lui avait permis d'exercer une activité professionnelle à 90%. A l'appui de ce grief, elle prétend que depuis la séparation, intervenue à tout le moins dès le 1er janvier 2015, elle s'est efforcée d'exercer une activité lucrative à plein temps sans jamais y parvenir, ni même obtenir un emploi à 90%, mais a au contraire enchaîné ceux à faibles taux. Elle avait certes travaillé comme vendeuse à 50% du 1er février 2019 au 29 février 2020 et, parallèlement, pour une autre société, mais seulement depuis le 18 novembre 2019, de surcroît, initialement, non pas à 50% mais à 39,02%, comme le retenait faussement l'arrêt attaqué, son second engagement à mi-temps n'ayant débuté que le 1er mai 2020. Elle n'avait par conséquent cumulé deux emplois et atteint de la sorte un taux d'activité de 89,02% que du 1er [sic] novembre 2019 au 29 février 2020. Au cours des sept années qui s'étaient écoulées depuis la séparation des parties, elle avait ainsi successivement occupé des postes à 70%, 50%, 39,02%, puis 50%, soit à un taux d'activité moyen de 52,25%, lequel n'avait jamais excédé 70%. Il était dès lors contraire à la réalité de retenir qu'elle avait une possibilité effective, même infime, de trouver un poste à 90%, alors même que tel n'avait pas été le cas jusqu'ici, malgré ses intenses recherches. La recourante reproche en outre à l'autorité cantonale d'avoir méconnu son âge actuel, à savoir 53 ans, en retenant arbitrairement qu'il lui serait effectivement possible de trouver un emploi à 90%. Elle expose qu'après la séparation, alors qu'elle était âgée de 46 ans, elle n'a pu travailler qu'à 70% au maximum, taux que malgré tous ses efforts elle n'est pas parvenue à augmenter. Il serait dès lors choquant et gravement contraire au sentiment de justice de retenir, alors qu'elle a aujourd'hui sept ans de plus, qu'elle pourrait trouver une activité lucrative à 90%. Il serait de surcroît notoire que plus une personne avance en âge, plus il lui est compliqué de trouver du travail, respectivement d'augmenter son taux d'activité, en raison du coût qu'elle représente pour son employeur en salaire et en charges sociales. La recourante est ainsi d'avis qu'on ne saurait lui imputer un taux d'activité hypothétique supérieur à 70%.</w:t>
      </w:r>
    </w:p>
    <w:p>
      <w:r>
        <w:rPr>
          <w:b/>
        </w:rPr>
        <w:t>E. 3.3</w:t>
      </w:r>
    </w:p>
    <w:p>
      <w:r>
        <w:t>Il résulte de l'arrêt attaqué que la recourante, âgée de 46 ans lors de la séparation des parties, n'a plus de charge d'enfants et qu'elle n'a pas fait état de problèmes de santé particuliers. Il n'est pas non plus contesté qu'elle présente une aptitude à travailler dans le domaine de la vente, partant, également dans des domaines qui ne requièrent pas de formation particulière. Les précisions apportées par la recourante, en se référant aux pièces du dossier, concernant la date à partir de laquelle elle a cumulé deux activités professionnelles, ainsi que le taux, inférieur à 40%, auquel elle a dans un premier temps exercé la seconde, constituent des faits que l'arrêt critiqué ne constate pas, sans qu'il soit démontré qu'ils auraient été arbitrairement omis (cf. supra consid. 2.2). De toute manière, l'autorité cantonale n'a pas méconnu que la défenderesse n'avait travaillé à 90% que durant quelques mois. Elle a cependant considéré que cette circonstance ne changeait rien au fait que l'intéressée avait eu la possibilité effective d'exercer professionnellement des activités à un tel taux. A ce constat, la recourante n'oppose aucun argument qui permettrait de tenir cette conclusion pour arbitraire (sur cette notion en matière d'appréciation des preuves, cf. supra consid. 2.2). Elle se borne en effet à alléguer des faits qui ne ressortent pas de l'arrêt attaqué, affirmant, sur un mode purement appellatoire, ne pas être parvenue à travailler à un taux supérieur à 70% depuis la séparation, malgré ses recherches d'emploi qu'elle qualifie d'acharnées. Toutefois, sauf à décrire les postes occupés auprès de deux sociétés, elle ne reproche nullement à la cour cantonale d'avoir constaté les faits de façon arbitrairement lacunaire en ne retenant pas qu'elle avait effectué des recherches pour un emploi ou un complément d'activité permettant d'augmenter durablement son taux de travail au-delà de 70%, éventuellement dans d'autres domaines que celui de la vente, recherches qui se seraient révélées infructueuses ( art. 106 al. 2 LTF ). Dès lors qu'à teneur de son recours, elle soutient s'être efforcée de travailler à 100% à compter de la séparation des parties, intervenue en janvier 2015, il lui appartenait, le cas échéant, d'établir que l'autorité précédente était tombée dans l'arbitraire en ne tenant pas compte de preuves produites en lien avec ses recherches d'emploi; or, elle n'allègue rien de tel, de sorte qu'il n'est pas démontré qu'elle ait réellement fourni tous les efforts que l'on pouvait attendre d'elle pour trouver une ou plusieurs activités lui permettant de travailler à un taux global plus élevé que les 70% qu'elle considère comme possibles. Ainsi, dans la mesure où ses prétendues vaines recherches d'emploi en ce sens ne sont pas établies, la recourante ne démontre pas qu'il était arbitraire d'admettre qu'elle était effectivement en mesure de travailler à 90%, comme cela avait été le cas quelques mois durant. Par ailleurs, quoi qu'elle en dise, l'âge actuel de la recourante ne constitue pas un obstacle notoire à l'augmentation de son taux d'activité, en particulier comme vendeuse, étant rappelé qu'aucun élément attestant d'une santé déficiente n'est allégué. En résumé, on ne voit pas que la cour cantonale ait estimé de manière insoutenable que la défenderesse était effectivement en mesure d'augmenter son taux d'activité dans son domaine de compétence ou dans un autre domaine ne nécessitant pas de formation particulière. Pour autant qu'il soit suffisamment motivé ( art. 106 al. 2 LTF ), le grief ne peut en conséquence être admis.</w:t>
      </w:r>
    </w:p>
    <w:p>
      <w:r>
        <w:rPr>
          <w:b/>
        </w:rPr>
        <w:t>E. 4</w:t>
      </w:r>
    </w:p>
    <w:p>
      <w:r>
        <w:t>En définitive, le recours se révèle mal fondé et ne peut donc être que rejeté, dans la mesure où il est recevable. Comme le recours était d'emblée voué à l'échec, la requête d'assistance judiciaire ne saurait être agréée ( art. 64 al. 1 LTF ). Les frais judiciaires seront dès lors supportés par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