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5A_464/2018 vom 31. Mai 2018</w:t>
      </w:r>
    </w:p>
    <w:p>
      <w:r>
        <w:t>Bundesgericht, 2018-05-31, DE</w:t>
      </w:r>
    </w:p>
    <w:p>
      <w:r>
        <w:rPr>
          <w:b/>
        </w:rPr>
        <w:t xml:space="preserve">Quelle: </w:t>
      </w:r>
      <w:r>
        <w:t>https://mcp.opencaselaw.ch/entscheid/bger_5A_464_2018</w:t>
      </w:r>
    </w:p>
    <w:p>
      <w:r>
        <w:t>FR: TF 5A_464/2018 du 31 mai 2018</w:t>
      </w:r>
    </w:p>
    <w:p>
      <w:r>
        <w:t>IT: TF 5A_464/2018 del 31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 Rechtsbegehren und eine Begründung zu enthalten ( Art. 42 Abs. 1 BGG ), in welcher in gedrängter Form dargelegt wird, inwiefern der angefochtene Entscheid Recht verletzt ( Art. 42 Abs. 2 BGG ), was eine Auseinandersetzung mit der Begründung des angefochtenen Entscheides erfordert ( BGE 140 III 115 E. 2 S. 116).</w:t>
      </w:r>
    </w:p>
    <w:p>
      <w:r>
        <w:rPr>
          <w:b/>
        </w:rPr>
        <w:t>E. 2</w:t>
      </w:r>
    </w:p>
    <w:p>
      <w:r>
        <w:t>Die Eingabe enthält weder ein Rechtsbegehren noch eine topische Begründung, sondern verschiedene, in keinem direkten Bezug zur angeordneten Massnahme stehende Aussagen (es sei alles anders; sie schäme sich für die KESB; sie stelle das Obergericht unter die Kirche von Italien; die KESB sei nicht in der Lage, ihre Kinder zu erziehen; die KESB verschanze sich hinter Artikeln; Familien seien nichts wert; die Gefährdungsmeldung sei der reinste Wahnsinn; sie habe kein Geld für kranke Leute; der Krankenwagen sei von der Behörde garantiert worden; u.ä.m.).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