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5A_462/2020 vom 9. Juni 2020</w:t>
      </w:r>
    </w:p>
    <w:p>
      <w:r>
        <w:t>Bundesgericht, 2020-06-09, DE</w:t>
      </w:r>
    </w:p>
    <w:p>
      <w:r>
        <w:rPr>
          <w:b/>
        </w:rPr>
        <w:t xml:space="preserve">Quelle: </w:t>
      </w:r>
      <w:r>
        <w:t>https://mcp.opencaselaw.ch/entscheid/bger_5A_462_2020</w:t>
      </w:r>
    </w:p>
    <w:p>
      <w:r>
        <w:t>FR: TF 5A_462/2020 du 9 juin 2020</w:t>
      </w:r>
    </w:p>
    <w:p>
      <w:r>
        <w:t>IT: TF 5A_462/2020 del 9 giugno 2020</w:t>
      </w:r>
    </w:p>
    <w:p>
      <w:pPr>
        <w:pStyle w:val="Heading2"/>
      </w:pPr>
      <w:r>
        <w:t>Erwägungen</w:t>
      </w:r>
    </w:p>
    <w:p>
      <w:r>
        <w:rPr>
          <w:b/>
        </w:rPr>
        <w:t>E. 1</w:t>
      </w:r>
    </w:p>
    <w:p>
      <w:r>
        <w:t>Angefochten ist ein kantonal letztinstanzlicher Entscheid betreffend Konkurseröffnung; dagegen steht streitwertunabhängig die Beschwerde in Zivilsachen offen ( Art. 72 Abs. 2 lit. a, Art. 74 Abs. 2 lit. d, Art. 75 Abs. 1 und Art. 90 BGG ).</w:t>
      </w:r>
    </w:p>
    <w:p>
      <w:r>
        <w:rPr>
          <w:b/>
        </w:rPr>
        <w:t>E. 2</w:t>
      </w:r>
    </w:p>
    <w:p>
      <w:r>
        <w:t>Die Beschwerde hat ein Rechtsbegehren in der Sache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t>Der Beschwerde mangelt es an einem Begehren in der Sache; es wird einzig um Beurteilung der Beschwerde ersucht.</w:t>
      </w:r>
    </w:p>
    <w:p>
      <w:r>
        <w:t>Sodann mangelt es auch offensichtlich an einer hinreichenden Begründung, indem einzig festgehalten wird, die Beschwerde richte sich gegen die Erwägungen und das Dispositiv des Obergerichts und die beigelegten Dokumente würden zeigen, dass es sich bei der Rechnungsstellung der Gläubigerin um eine Verwechslung handle. Mit dieser (bereits im Rechtsöffnungsverfahren vorgebrachten, vgl. Urteil 5D_26/2020 vom 10. März 2020) Behauptung lässt sich keine Rechtsverletzung im Zusammenhang mit der Konkurseröffnung dartun.</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